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b/>
          <w:color w:val="auto"/>
          <w:sz w:val="32"/>
          <w:szCs w:val="32"/>
        </w:rPr>
      </w:pPr>
      <w:r>
        <w:rPr>
          <w:rFonts w:hint="eastAsia" w:ascii="宋体" w:hAnsi="宋体"/>
          <w:b/>
          <w:color w:val="auto"/>
          <w:sz w:val="32"/>
          <w:szCs w:val="32"/>
          <w:lang w:val="en-US" w:eastAsia="zh-CN"/>
        </w:rPr>
        <w:t>附 件</w:t>
      </w:r>
    </w:p>
    <w:p>
      <w:pPr>
        <w:spacing w:line="360" w:lineRule="auto"/>
        <w:rPr>
          <w:rFonts w:hint="eastAsia" w:ascii="宋体" w:hAnsi="宋体"/>
          <w:color w:val="auto"/>
          <w:sz w:val="24"/>
        </w:rPr>
      </w:pPr>
      <w:r>
        <w:rPr>
          <w:rFonts w:hint="eastAsia" w:ascii="宋体" w:hAnsi="宋体"/>
          <w:b/>
          <w:color w:val="auto"/>
          <w:sz w:val="24"/>
        </w:rPr>
        <w:t>本项目评标采用综合评分法</w:t>
      </w:r>
      <w:r>
        <w:rPr>
          <w:rFonts w:hint="eastAsia" w:ascii="宋体" w:hAnsi="宋体"/>
          <w:color w:val="auto"/>
          <w:sz w:val="24"/>
        </w:rPr>
        <w:t>，具体如下：</w:t>
      </w:r>
    </w:p>
    <w:p>
      <w:pPr>
        <w:spacing w:line="360" w:lineRule="auto"/>
        <w:ind w:firstLine="480" w:firstLineChars="200"/>
        <w:rPr>
          <w:rFonts w:hint="eastAsia" w:ascii="宋体" w:hAnsi="宋体"/>
          <w:b/>
          <w:color w:val="auto"/>
          <w:sz w:val="24"/>
        </w:rPr>
      </w:pPr>
      <w:r>
        <w:rPr>
          <w:rFonts w:hint="eastAsia" w:ascii="宋体" w:hAnsi="宋体"/>
          <w:color w:val="auto"/>
          <w:sz w:val="24"/>
        </w:rPr>
        <w:t>评标委员会按照合同包的顺序，根据统一的标准和方法对</w:t>
      </w:r>
      <w:r>
        <w:rPr>
          <w:rFonts w:hint="eastAsia"/>
          <w:color w:val="auto"/>
          <w:sz w:val="24"/>
        </w:rPr>
        <w:t>满足招标文件全部实质性要求的投标文件进行评估，按照评审因</w:t>
      </w:r>
      <w:r>
        <w:rPr>
          <w:rFonts w:hint="eastAsia" w:ascii="宋体" w:hAnsi="宋体"/>
          <w:color w:val="auto"/>
          <w:sz w:val="24"/>
        </w:rPr>
        <w:t>素的量化指标评审出各投标人的综合得分，综合得分最高的投标人推荐为该合同包的中标候选人。若有相同的最高得分，则按投标报价从低到高顺序进行排列；若投标报价也相同，则按技术部分得分从高到低顺序进行排列；再相</w:t>
      </w:r>
      <w:r>
        <w:rPr>
          <w:rFonts w:hint="eastAsia" w:ascii="宋体" w:hAnsi="宋体" w:cs="Tahoma"/>
          <w:color w:val="auto"/>
          <w:sz w:val="24"/>
          <w:szCs w:val="30"/>
        </w:rPr>
        <w:t>同，</w:t>
      </w:r>
      <w:r>
        <w:rPr>
          <w:rFonts w:hint="eastAsia" w:ascii="宋体" w:hAnsi="宋体"/>
          <w:color w:val="auto"/>
          <w:sz w:val="24"/>
        </w:rPr>
        <w:t>则</w:t>
      </w:r>
      <w:r>
        <w:rPr>
          <w:rFonts w:hint="eastAsia"/>
          <w:color w:val="auto"/>
          <w:sz w:val="24"/>
        </w:rPr>
        <w:t>采取随机抽取方式推荐</w:t>
      </w:r>
      <w:r>
        <w:rPr>
          <w:rFonts w:hint="eastAsia" w:ascii="宋体" w:hAnsi="宋体"/>
          <w:color w:val="auto"/>
          <w:sz w:val="24"/>
        </w:rPr>
        <w:t>中标候选人。</w:t>
      </w:r>
      <w:r>
        <w:rPr>
          <w:rFonts w:hint="eastAsia" w:ascii="宋体" w:hAnsi="宋体"/>
          <w:b/>
          <w:color w:val="auto"/>
          <w:sz w:val="24"/>
        </w:rPr>
        <w:t>（推荐一名中标候选人）</w:t>
      </w:r>
    </w:p>
    <w:p>
      <w:pPr>
        <w:spacing w:line="360" w:lineRule="auto"/>
        <w:ind w:firstLine="482" w:firstLineChars="200"/>
        <w:rPr>
          <w:rFonts w:hint="eastAsia" w:ascii="宋体" w:hAnsi="宋体" w:eastAsia="宋体"/>
          <w:b/>
          <w:color w:val="auto"/>
          <w:sz w:val="24"/>
          <w:lang w:eastAsia="zh-CN"/>
        </w:rPr>
      </w:pPr>
      <w:r>
        <w:rPr>
          <w:rFonts w:hint="eastAsia" w:ascii="宋体" w:hAnsi="宋体"/>
          <w:b/>
          <w:color w:val="auto"/>
          <w:sz w:val="24"/>
        </w:rPr>
        <w:t>投标人在投标文件中应如实提供证明文件的复印件，招标人在必要时将保留要求投标人提供证明文件原件予以核查的权利，以防虚假应标</w:t>
      </w:r>
      <w:r>
        <w:rPr>
          <w:rFonts w:hint="eastAsia" w:ascii="宋体" w:hAnsi="宋体"/>
          <w:b/>
          <w:color w:val="auto"/>
          <w:sz w:val="24"/>
          <w:lang w:eastAsia="zh-CN"/>
        </w:rPr>
        <w:t>。</w:t>
      </w:r>
    </w:p>
    <w:p>
      <w:pPr>
        <w:spacing w:line="360" w:lineRule="auto"/>
        <w:ind w:firstLine="482" w:firstLineChars="200"/>
        <w:rPr>
          <w:rFonts w:hint="eastAsia" w:ascii="宋体" w:hAnsi="宋体"/>
          <w:b/>
          <w:color w:val="auto"/>
          <w:sz w:val="24"/>
        </w:rPr>
      </w:pPr>
      <w:r>
        <w:rPr>
          <w:rFonts w:hint="eastAsia" w:ascii="宋体" w:hAnsi="宋体"/>
          <w:b/>
          <w:color w:val="auto"/>
          <w:sz w:val="24"/>
        </w:rPr>
        <w:t>分值分布如下：</w:t>
      </w:r>
    </w:p>
    <w:p>
      <w:pPr>
        <w:spacing w:line="360" w:lineRule="auto"/>
        <w:ind w:firstLine="482" w:firstLineChars="200"/>
        <w:rPr>
          <w:rFonts w:hint="eastAsia" w:ascii="宋体" w:hAnsi="宋体"/>
          <w:b/>
          <w:color w:val="auto"/>
          <w:sz w:val="24"/>
        </w:rPr>
      </w:pPr>
      <w:r>
        <w:rPr>
          <w:rFonts w:hint="eastAsia" w:ascii="宋体" w:hAnsi="宋体"/>
          <w:b/>
          <w:color w:val="auto"/>
          <w:sz w:val="24"/>
        </w:rPr>
        <w:t>PT：技术部分评分           满分</w:t>
      </w:r>
      <w:r>
        <w:rPr>
          <w:rFonts w:hint="eastAsia" w:ascii="宋体" w:hAnsi="宋体"/>
          <w:b/>
          <w:color w:val="auto"/>
          <w:sz w:val="24"/>
          <w:u w:val="single"/>
        </w:rPr>
        <w:t xml:space="preserve"> </w:t>
      </w:r>
      <w:r>
        <w:rPr>
          <w:rFonts w:hint="eastAsia" w:ascii="宋体" w:hAnsi="宋体"/>
          <w:b/>
          <w:color w:val="auto"/>
          <w:sz w:val="24"/>
          <w:u w:val="single"/>
          <w:lang w:val="en-US" w:eastAsia="zh-CN"/>
        </w:rPr>
        <w:t>79</w:t>
      </w:r>
      <w:r>
        <w:rPr>
          <w:rFonts w:hint="eastAsia" w:ascii="宋体" w:hAnsi="宋体"/>
          <w:b/>
          <w:color w:val="auto"/>
          <w:sz w:val="24"/>
          <w:u w:val="single"/>
        </w:rPr>
        <w:t xml:space="preserve"> </w:t>
      </w:r>
      <w:r>
        <w:rPr>
          <w:rFonts w:hint="eastAsia" w:ascii="宋体" w:hAnsi="宋体"/>
          <w:b/>
          <w:color w:val="auto"/>
          <w:sz w:val="24"/>
        </w:rPr>
        <w:t>分</w:t>
      </w:r>
    </w:p>
    <w:p>
      <w:pPr>
        <w:spacing w:line="360" w:lineRule="auto"/>
        <w:ind w:firstLine="482" w:firstLineChars="200"/>
        <w:rPr>
          <w:rFonts w:hint="eastAsia" w:ascii="宋体" w:hAnsi="宋体"/>
          <w:b/>
          <w:color w:val="auto"/>
          <w:sz w:val="24"/>
        </w:rPr>
      </w:pPr>
      <w:r>
        <w:rPr>
          <w:rFonts w:hint="eastAsia" w:ascii="宋体" w:hAnsi="宋体"/>
          <w:b/>
          <w:color w:val="auto"/>
          <w:sz w:val="24"/>
        </w:rPr>
        <w:t>PB：商务部分评分           满分</w:t>
      </w:r>
      <w:r>
        <w:rPr>
          <w:rFonts w:hint="eastAsia" w:ascii="宋体" w:hAnsi="宋体"/>
          <w:b/>
          <w:color w:val="auto"/>
          <w:sz w:val="24"/>
          <w:u w:val="single"/>
        </w:rPr>
        <w:t xml:space="preserve"> </w:t>
      </w:r>
      <w:r>
        <w:rPr>
          <w:rFonts w:hint="eastAsia" w:ascii="宋体" w:hAnsi="宋体"/>
          <w:b/>
          <w:color w:val="auto"/>
          <w:sz w:val="24"/>
          <w:u w:val="single"/>
          <w:lang w:val="en-US" w:eastAsia="zh-CN"/>
        </w:rPr>
        <w:t>11</w:t>
      </w:r>
      <w:r>
        <w:rPr>
          <w:rFonts w:hint="eastAsia" w:ascii="宋体" w:hAnsi="宋体"/>
          <w:b/>
          <w:color w:val="auto"/>
          <w:sz w:val="24"/>
          <w:u w:val="single"/>
        </w:rPr>
        <w:t xml:space="preserve"> </w:t>
      </w:r>
      <w:r>
        <w:rPr>
          <w:rFonts w:hint="eastAsia" w:ascii="宋体" w:hAnsi="宋体"/>
          <w:b/>
          <w:color w:val="auto"/>
          <w:sz w:val="24"/>
        </w:rPr>
        <w:t>分</w:t>
      </w:r>
    </w:p>
    <w:p>
      <w:pPr>
        <w:pStyle w:val="3"/>
        <w:spacing w:line="360" w:lineRule="auto"/>
        <w:ind w:firstLine="482" w:firstLineChars="200"/>
        <w:rPr>
          <w:rFonts w:hint="eastAsia" w:ascii="宋体" w:hAnsi="宋体"/>
          <w:b/>
          <w:color w:val="auto"/>
          <w:sz w:val="24"/>
        </w:rPr>
      </w:pPr>
      <w:r>
        <w:rPr>
          <w:rFonts w:hint="eastAsia" w:ascii="宋体" w:hAnsi="宋体"/>
          <w:b/>
          <w:color w:val="auto"/>
          <w:sz w:val="24"/>
        </w:rPr>
        <w:t>PF：报价部分评分           满分</w:t>
      </w:r>
      <w:r>
        <w:rPr>
          <w:rFonts w:hint="eastAsia" w:ascii="宋体" w:hAnsi="宋体"/>
          <w:b/>
          <w:color w:val="auto"/>
          <w:sz w:val="24"/>
          <w:u w:val="single"/>
        </w:rPr>
        <w:t xml:space="preserve"> 10</w:t>
      </w:r>
      <w:r>
        <w:rPr>
          <w:rFonts w:hint="eastAsia" w:ascii="宋体" w:hAnsi="宋体"/>
          <w:b/>
          <w:color w:val="auto"/>
          <w:sz w:val="24"/>
        </w:rPr>
        <w:t xml:space="preserve">分  </w:t>
      </w:r>
    </w:p>
    <w:p>
      <w:pPr>
        <w:spacing w:line="360" w:lineRule="auto"/>
        <w:ind w:firstLine="480" w:firstLineChars="200"/>
        <w:rPr>
          <w:rFonts w:hint="eastAsia" w:ascii="宋体" w:hAnsi="宋体"/>
          <w:b/>
          <w:bCs/>
          <w:color w:val="auto"/>
          <w:sz w:val="24"/>
        </w:rPr>
      </w:pPr>
      <w:r>
        <w:rPr>
          <w:rFonts w:hint="eastAsia" w:ascii="宋体" w:hAnsi="宋体"/>
          <w:color w:val="auto"/>
          <w:sz w:val="24"/>
        </w:rPr>
        <w:t>备注：计算分数时四舍五入保留小数点后两位。</w:t>
      </w:r>
    </w:p>
    <w:p>
      <w:pPr>
        <w:spacing w:line="360" w:lineRule="auto"/>
        <w:rPr>
          <w:rFonts w:hint="eastAsia" w:ascii="宋体" w:hAnsi="宋体"/>
          <w:b/>
          <w:bCs/>
          <w:color w:val="auto"/>
          <w:sz w:val="24"/>
        </w:rPr>
      </w:pPr>
      <w:r>
        <w:rPr>
          <w:rFonts w:hint="eastAsia" w:ascii="宋体" w:hAnsi="宋体"/>
          <w:b/>
          <w:bCs/>
          <w:color w:val="auto"/>
          <w:sz w:val="24"/>
        </w:rPr>
        <w:t>Ⅰ 技术部分评分（PT）   满分</w:t>
      </w:r>
      <w:r>
        <w:rPr>
          <w:rFonts w:hint="eastAsia" w:ascii="宋体" w:hAnsi="宋体"/>
          <w:b/>
          <w:bCs/>
          <w:color w:val="auto"/>
          <w:sz w:val="24"/>
          <w:u w:val="single"/>
          <w:lang w:val="en-US" w:eastAsia="zh-CN"/>
        </w:rPr>
        <w:t>79</w:t>
      </w:r>
      <w:r>
        <w:rPr>
          <w:rFonts w:hint="eastAsia" w:ascii="宋体" w:hAnsi="宋体"/>
          <w:b/>
          <w:bCs/>
          <w:color w:val="auto"/>
          <w:sz w:val="24"/>
        </w:rPr>
        <w:t>分</w:t>
      </w:r>
    </w:p>
    <w:tbl>
      <w:tblPr>
        <w:tblStyle w:val="7"/>
        <w:tblW w:w="5000" w:type="pct"/>
        <w:jc w:val="center"/>
        <w:tblLayout w:type="autofit"/>
        <w:tblCellMar>
          <w:top w:w="0" w:type="dxa"/>
          <w:left w:w="108" w:type="dxa"/>
          <w:bottom w:w="0" w:type="dxa"/>
          <w:right w:w="108" w:type="dxa"/>
        </w:tblCellMar>
      </w:tblPr>
      <w:tblGrid>
        <w:gridCol w:w="839"/>
        <w:gridCol w:w="821"/>
        <w:gridCol w:w="6862"/>
      </w:tblGrid>
      <w:tr>
        <w:tblPrEx>
          <w:tblCellMar>
            <w:top w:w="0" w:type="dxa"/>
            <w:left w:w="108" w:type="dxa"/>
            <w:bottom w:w="0" w:type="dxa"/>
            <w:right w:w="108" w:type="dxa"/>
          </w:tblCellMar>
        </w:tblPrEx>
        <w:trPr>
          <w:trHeight w:val="454" w:hRule="atLeast"/>
          <w:tblHeader/>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宋体" w:hAnsi="宋体" w:cs="宋体"/>
                <w:color w:val="auto"/>
                <w:kern w:val="0"/>
                <w:sz w:val="24"/>
                <w:lang w:bidi="as-IN"/>
              </w:rPr>
            </w:pPr>
            <w:r>
              <w:rPr>
                <w:rFonts w:hint="eastAsia" w:ascii="宋体" w:hAnsi="宋体" w:cs="宋体"/>
                <w:color w:val="auto"/>
                <w:kern w:val="0"/>
                <w:sz w:val="24"/>
                <w:lang w:bidi="as-IN"/>
              </w:rPr>
              <w:t>评标</w:t>
            </w:r>
          </w:p>
          <w:p>
            <w:pPr>
              <w:widowControl/>
              <w:adjustRightInd w:val="0"/>
              <w:snapToGrid w:val="0"/>
              <w:spacing w:line="360" w:lineRule="auto"/>
              <w:jc w:val="left"/>
              <w:rPr>
                <w:rFonts w:ascii="宋体" w:hAnsi="宋体" w:cs="宋体"/>
                <w:b/>
                <w:bCs/>
                <w:color w:val="auto"/>
                <w:sz w:val="24"/>
              </w:rPr>
            </w:pPr>
            <w:r>
              <w:rPr>
                <w:rFonts w:hint="eastAsia" w:ascii="宋体" w:hAnsi="宋体" w:cs="宋体"/>
                <w:color w:val="auto"/>
                <w:kern w:val="0"/>
                <w:sz w:val="24"/>
                <w:lang w:bidi="as-IN"/>
              </w:rPr>
              <w:t>项目</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宋体" w:hAnsi="宋体" w:cs="宋体"/>
                <w:color w:val="auto"/>
                <w:kern w:val="0"/>
                <w:sz w:val="24"/>
                <w:lang w:bidi="as-IN"/>
              </w:rPr>
            </w:pPr>
            <w:r>
              <w:rPr>
                <w:rFonts w:hint="eastAsia" w:ascii="宋体" w:hAnsi="宋体" w:cs="宋体"/>
                <w:color w:val="auto"/>
                <w:kern w:val="0"/>
                <w:sz w:val="24"/>
                <w:lang w:bidi="as-IN"/>
              </w:rPr>
              <w:t>评标</w:t>
            </w:r>
          </w:p>
          <w:p>
            <w:pPr>
              <w:widowControl/>
              <w:adjustRightInd w:val="0"/>
              <w:snapToGrid w:val="0"/>
              <w:spacing w:line="360" w:lineRule="auto"/>
              <w:jc w:val="left"/>
              <w:rPr>
                <w:rFonts w:ascii="宋体" w:hAnsi="宋体" w:cs="宋体"/>
                <w:b/>
                <w:bCs/>
                <w:color w:val="auto"/>
                <w:sz w:val="24"/>
              </w:rPr>
            </w:pPr>
            <w:r>
              <w:rPr>
                <w:rFonts w:hint="eastAsia" w:ascii="宋体" w:hAnsi="宋体" w:cs="宋体"/>
                <w:color w:val="auto"/>
                <w:kern w:val="0"/>
                <w:sz w:val="24"/>
                <w:lang w:bidi="as-IN"/>
              </w:rPr>
              <w:t>分值</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360" w:lineRule="auto"/>
              <w:jc w:val="left"/>
              <w:rPr>
                <w:rFonts w:ascii="宋体" w:hAnsi="宋体" w:cs="宋体"/>
                <w:b/>
                <w:bCs/>
                <w:color w:val="auto"/>
                <w:sz w:val="24"/>
              </w:rPr>
            </w:pPr>
            <w:r>
              <w:rPr>
                <w:rFonts w:hint="eastAsia" w:ascii="宋体" w:hAnsi="宋体" w:cs="宋体"/>
                <w:color w:val="auto"/>
                <w:kern w:val="0"/>
                <w:sz w:val="24"/>
                <w:lang w:bidi="as-IN"/>
              </w:rPr>
              <w:t>评标方法描述</w:t>
            </w:r>
          </w:p>
        </w:tc>
      </w:tr>
      <w:tr>
        <w:tblPrEx>
          <w:tblCellMar>
            <w:top w:w="0" w:type="dxa"/>
            <w:left w:w="108" w:type="dxa"/>
            <w:bottom w:w="0" w:type="dxa"/>
            <w:right w:w="108" w:type="dxa"/>
          </w:tblCellMar>
        </w:tblPrEx>
        <w:trPr>
          <w:trHeight w:val="1040"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ascii="宋体" w:hAnsi="宋体" w:cs="宋体"/>
                <w:color w:val="auto"/>
              </w:rPr>
            </w:pPr>
            <w:r>
              <w:rPr>
                <w:rFonts w:hint="eastAsia" w:ascii="宋体" w:hAnsi="宋体" w:cs="宋体"/>
                <w:color w:val="auto"/>
              </w:rPr>
              <w:t>2-1</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default" w:ascii="宋体" w:hAnsi="宋体" w:eastAsia="宋体" w:cs="宋体"/>
                <w:color w:val="auto"/>
                <w:lang w:val="en-US" w:eastAsia="zh-CN"/>
              </w:rPr>
            </w:pPr>
            <w:r>
              <w:rPr>
                <w:rFonts w:hint="eastAsia" w:ascii="宋体" w:hAnsi="宋体" w:cs="宋体"/>
                <w:color w:val="auto"/>
                <w:lang w:val="en-US" w:eastAsia="zh-CN"/>
              </w:rPr>
              <w:t>38</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根据投标人对招标内容及要求中“二、技术和服务要求”的逐项响应承诺等方面情况，由评委进行评分：完全满足文件要求的得</w:t>
            </w:r>
            <w:r>
              <w:rPr>
                <w:rFonts w:hint="eastAsia" w:ascii="宋体" w:hAnsi="宋体" w:cs="宋体"/>
                <w:color w:val="auto"/>
                <w:sz w:val="24"/>
                <w:lang w:val="en-US" w:eastAsia="zh-CN"/>
              </w:rPr>
              <w:t>38</w:t>
            </w:r>
            <w:r>
              <w:rPr>
                <w:rFonts w:hint="eastAsia" w:ascii="宋体" w:hAnsi="宋体" w:cs="宋体"/>
                <w:color w:val="auto"/>
                <w:sz w:val="24"/>
              </w:rPr>
              <w:t>分，其中</w:t>
            </w:r>
            <w:r>
              <w:rPr>
                <w:rFonts w:hint="eastAsia" w:ascii="宋体" w:hAnsi="宋体" w:cs="宋体"/>
                <w:color w:val="auto"/>
                <w:kern w:val="0"/>
                <w:sz w:val="24"/>
                <w:lang w:bidi="ar"/>
              </w:rPr>
              <w:t>带“</w:t>
            </w:r>
            <w:r>
              <w:rPr>
                <w:rStyle w:val="9"/>
                <w:rFonts w:hint="eastAsia" w:ascii="宋体" w:hAnsi="宋体" w:cs="宋体"/>
                <w:color w:val="auto"/>
                <w:sz w:val="24"/>
                <w:shd w:val="clear" w:color="auto" w:fill="FFFFFF"/>
              </w:rPr>
              <w:t>★</w:t>
            </w:r>
            <w:r>
              <w:rPr>
                <w:rFonts w:hint="eastAsia" w:ascii="宋体" w:hAnsi="宋体" w:cs="宋体"/>
                <w:color w:val="auto"/>
                <w:kern w:val="0"/>
                <w:sz w:val="24"/>
                <w:lang w:bidi="ar"/>
              </w:rPr>
              <w:t>”号技术指标</w:t>
            </w:r>
            <w:r>
              <w:rPr>
                <w:rFonts w:hint="eastAsia" w:ascii="宋体" w:hAnsi="宋体" w:cs="宋体"/>
                <w:color w:val="auto"/>
                <w:sz w:val="24"/>
              </w:rPr>
              <w:t>3项，为实质性响应条款，未响应或响应不充分则为无效标；其余技术指标共6</w:t>
            </w:r>
            <w:r>
              <w:rPr>
                <w:rFonts w:hint="eastAsia" w:ascii="宋体" w:hAnsi="宋体" w:cs="宋体"/>
                <w:color w:val="auto"/>
                <w:sz w:val="24"/>
                <w:lang w:val="en-US" w:eastAsia="zh-CN"/>
              </w:rPr>
              <w:t>4</w:t>
            </w:r>
            <w:r>
              <w:rPr>
                <w:rFonts w:hint="eastAsia" w:ascii="宋体" w:hAnsi="宋体" w:cs="宋体"/>
                <w:color w:val="auto"/>
                <w:sz w:val="24"/>
              </w:rPr>
              <w:t>项，</w:t>
            </w:r>
            <w:r>
              <w:rPr>
                <w:rFonts w:hint="eastAsia" w:ascii="宋体" w:hAnsi="宋体" w:cs="宋体"/>
                <w:color w:val="auto"/>
                <w:kern w:val="0"/>
                <w:sz w:val="24"/>
                <w:lang w:bidi="ar"/>
              </w:rPr>
              <w:t>带“▲”号技术指标</w:t>
            </w:r>
            <w:r>
              <w:rPr>
                <w:rFonts w:hint="eastAsia" w:ascii="宋体" w:hAnsi="宋体" w:cs="宋体"/>
                <w:color w:val="auto"/>
                <w:sz w:val="24"/>
              </w:rPr>
              <w:t>1</w:t>
            </w:r>
            <w:r>
              <w:rPr>
                <w:rFonts w:hint="eastAsia" w:ascii="宋体" w:hAnsi="宋体" w:cs="宋体"/>
                <w:color w:val="auto"/>
                <w:sz w:val="24"/>
                <w:lang w:val="en-US" w:eastAsia="zh-CN"/>
              </w:rPr>
              <w:t>2</w:t>
            </w:r>
            <w:r>
              <w:rPr>
                <w:rFonts w:hint="eastAsia" w:ascii="宋体" w:hAnsi="宋体" w:cs="宋体"/>
                <w:color w:val="auto"/>
                <w:sz w:val="24"/>
              </w:rPr>
              <w:t>项，</w:t>
            </w:r>
            <w:r>
              <w:rPr>
                <w:rFonts w:hint="eastAsia" w:ascii="宋体" w:hAnsi="宋体" w:cs="宋体"/>
                <w:color w:val="auto"/>
                <w:kern w:val="0"/>
                <w:sz w:val="24"/>
                <w:lang w:bidi="ar"/>
              </w:rPr>
              <w:t>每负偏离一项扣</w:t>
            </w:r>
            <w:r>
              <w:rPr>
                <w:rFonts w:hint="eastAsia" w:ascii="宋体" w:hAnsi="宋体" w:cs="宋体"/>
                <w:color w:val="auto"/>
                <w:kern w:val="0"/>
                <w:sz w:val="24"/>
                <w:lang w:val="en-US" w:eastAsia="zh-CN" w:bidi="ar"/>
              </w:rPr>
              <w:t>1</w:t>
            </w:r>
            <w:r>
              <w:rPr>
                <w:rFonts w:hint="eastAsia" w:ascii="宋体" w:hAnsi="宋体" w:cs="宋体"/>
                <w:color w:val="auto"/>
                <w:kern w:val="0"/>
                <w:sz w:val="24"/>
                <w:lang w:bidi="ar"/>
              </w:rPr>
              <w:t>分</w:t>
            </w:r>
            <w:r>
              <w:rPr>
                <w:rFonts w:hint="eastAsia" w:ascii="宋体" w:hAnsi="宋体" w:cs="宋体"/>
                <w:color w:val="auto"/>
                <w:sz w:val="24"/>
              </w:rPr>
              <w:t>，</w:t>
            </w:r>
            <w:r>
              <w:rPr>
                <w:rFonts w:hint="eastAsia" w:ascii="宋体" w:hAnsi="宋体" w:cs="宋体"/>
                <w:color w:val="auto"/>
                <w:kern w:val="0"/>
                <w:sz w:val="24"/>
                <w:lang w:bidi="ar"/>
              </w:rPr>
              <w:t>未带“</w:t>
            </w:r>
            <w:r>
              <w:rPr>
                <w:rStyle w:val="9"/>
                <w:rFonts w:hint="eastAsia" w:ascii="宋体" w:hAnsi="宋体" w:cs="宋体"/>
                <w:color w:val="auto"/>
                <w:sz w:val="24"/>
                <w:shd w:val="clear" w:color="auto" w:fill="FFFFFF"/>
              </w:rPr>
              <w:t>★</w:t>
            </w:r>
            <w:r>
              <w:rPr>
                <w:rFonts w:hint="eastAsia" w:ascii="宋体" w:hAnsi="宋体" w:cs="宋体"/>
                <w:color w:val="auto"/>
                <w:kern w:val="0"/>
                <w:sz w:val="24"/>
                <w:lang w:bidi="ar"/>
              </w:rPr>
              <w:t>”、“▲”号技术指标共5</w:t>
            </w:r>
            <w:r>
              <w:rPr>
                <w:rFonts w:hint="eastAsia" w:ascii="宋体" w:hAnsi="宋体" w:cs="宋体"/>
                <w:color w:val="auto"/>
                <w:kern w:val="0"/>
                <w:sz w:val="24"/>
                <w:lang w:val="en-US" w:eastAsia="zh-CN" w:bidi="ar"/>
              </w:rPr>
              <w:t>2</w:t>
            </w:r>
            <w:r>
              <w:rPr>
                <w:rFonts w:hint="eastAsia" w:ascii="宋体" w:hAnsi="宋体" w:cs="宋体"/>
                <w:color w:val="auto"/>
                <w:kern w:val="0"/>
                <w:sz w:val="24"/>
                <w:lang w:bidi="ar"/>
              </w:rPr>
              <w:t>项，每负偏离一项扣</w:t>
            </w:r>
            <w:r>
              <w:rPr>
                <w:rFonts w:hint="eastAsia" w:ascii="宋体" w:hAnsi="宋体" w:cs="宋体"/>
                <w:color w:val="auto"/>
                <w:kern w:val="0"/>
                <w:sz w:val="24"/>
                <w:lang w:val="en-US" w:eastAsia="zh-CN" w:bidi="ar"/>
              </w:rPr>
              <w:t>0.5</w:t>
            </w:r>
            <w:r>
              <w:rPr>
                <w:rFonts w:hint="eastAsia" w:ascii="宋体" w:hAnsi="宋体" w:cs="宋体"/>
                <w:color w:val="auto"/>
                <w:kern w:val="0"/>
                <w:sz w:val="24"/>
                <w:lang w:bidi="ar"/>
              </w:rPr>
              <w:t>分。扣完为止；【注：招标文件中技术指标若有要求投标人提供相应佐证材料的，投标人未提供相应佐证材料或者投标人的响应承诺与其佐证材料不一致的，评标委员会将以不利于投标人的内容为准进行评审（视为负偏离）】</w:t>
            </w:r>
          </w:p>
        </w:tc>
      </w:tr>
      <w:tr>
        <w:tblPrEx>
          <w:tblCellMar>
            <w:top w:w="0" w:type="dxa"/>
            <w:left w:w="108" w:type="dxa"/>
            <w:bottom w:w="0" w:type="dxa"/>
            <w:right w:w="108" w:type="dxa"/>
          </w:tblCellMar>
        </w:tblPrEx>
        <w:trPr>
          <w:trHeight w:val="1040"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cs="宋体"/>
                <w:color w:val="auto"/>
              </w:rPr>
            </w:pPr>
            <w:r>
              <w:rPr>
                <w:rFonts w:hint="eastAsia" w:ascii="宋体" w:hAnsi="宋体" w:cs="宋体"/>
                <w:color w:val="auto"/>
              </w:rPr>
              <w:t>2-2</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ascii="宋体" w:hAnsi="宋体" w:cs="宋体"/>
                <w:color w:val="auto"/>
              </w:rPr>
            </w:pPr>
            <w:r>
              <w:rPr>
                <w:rFonts w:hint="eastAsia" w:ascii="宋体" w:hAnsi="宋体" w:cs="宋体"/>
                <w:color w:val="auto"/>
              </w:rPr>
              <w:t>3</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空气源热泵产品单个机组的噪音分贝要求：噪音分＞66dB（A）不得分；66dB（A）≥空气源热泵产品机组的噪音＞65dB（A）得1分；65dB（A）≥空气源热泵产品机组的噪音≥64dB（A）得2分；空气源热泵产品机组的噪音＜64dB（A）得3分；投标人需提供国家认可的具有检测资质的检测机构出具的带有CMA标识的检测报告复印件。</w:t>
            </w:r>
          </w:p>
        </w:tc>
      </w:tr>
      <w:tr>
        <w:tblPrEx>
          <w:tblCellMar>
            <w:top w:w="0" w:type="dxa"/>
            <w:left w:w="108" w:type="dxa"/>
            <w:bottom w:w="0" w:type="dxa"/>
            <w:right w:w="108" w:type="dxa"/>
          </w:tblCellMar>
        </w:tblPrEx>
        <w:trPr>
          <w:trHeight w:val="517"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cs="宋体"/>
                <w:color w:val="auto"/>
              </w:rPr>
            </w:pPr>
            <w:r>
              <w:rPr>
                <w:rFonts w:hint="eastAsia" w:ascii="宋体" w:hAnsi="宋体" w:cs="宋体"/>
                <w:color w:val="auto"/>
              </w:rPr>
              <w:t>2-3</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cs="宋体"/>
                <w:color w:val="auto"/>
              </w:rPr>
            </w:pPr>
            <w:r>
              <w:rPr>
                <w:rFonts w:hint="eastAsia" w:ascii="宋体" w:hAnsi="宋体" w:cs="宋体"/>
                <w:color w:val="auto"/>
              </w:rPr>
              <w:t>3</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color w:val="auto"/>
                <w:sz w:val="24"/>
              </w:rPr>
            </w:pPr>
            <w:r>
              <w:rPr>
                <w:rFonts w:hint="eastAsia" w:ascii="宋体" w:hAnsi="宋体" w:cs="宋体"/>
                <w:color w:val="auto"/>
                <w:sz w:val="24"/>
              </w:rPr>
              <w:t>投标人承诺对空气源热泵采用低噪音机组并采取减振降噪措施，能保证降噪减震后不影响学生正常作息，减震降噪周边噪音实测值达到一定要求：57dB（A）＜实测值≤60dB（A），得1分；55dB（A）＜实测值≤57dB（A），得2分；实测值≤55dB（A），得3分。投标人需提供承诺函，格式自拟，否则不得分。</w:t>
            </w:r>
          </w:p>
        </w:tc>
      </w:tr>
      <w:tr>
        <w:tblPrEx>
          <w:tblCellMar>
            <w:top w:w="0" w:type="dxa"/>
            <w:left w:w="108" w:type="dxa"/>
            <w:bottom w:w="0" w:type="dxa"/>
            <w:right w:w="108" w:type="dxa"/>
          </w:tblCellMar>
        </w:tblPrEx>
        <w:trPr>
          <w:trHeight w:val="517"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ascii="宋体" w:hAnsi="宋体" w:cs="宋体"/>
                <w:color w:val="auto"/>
              </w:rPr>
            </w:pPr>
            <w:r>
              <w:rPr>
                <w:rFonts w:hint="eastAsia" w:ascii="宋体" w:hAnsi="宋体" w:cs="宋体"/>
                <w:color w:val="auto"/>
              </w:rPr>
              <w:t>2-4</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ascii="宋体" w:hAnsi="宋体" w:cs="宋体"/>
                <w:color w:val="auto"/>
              </w:rPr>
            </w:pPr>
            <w:r>
              <w:rPr>
                <w:rFonts w:hint="eastAsia" w:ascii="宋体" w:hAnsi="宋体" w:cs="宋体"/>
                <w:color w:val="auto"/>
              </w:rPr>
              <w:t>3</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color w:val="auto"/>
                <w:sz w:val="24"/>
              </w:rPr>
            </w:pPr>
            <w:r>
              <w:rPr>
                <w:rFonts w:hint="eastAsia" w:ascii="宋体" w:hAnsi="宋体" w:cs="宋体"/>
                <w:color w:val="auto"/>
                <w:sz w:val="24"/>
              </w:rPr>
              <w:t>投标人提供的本项目空气源热泵减震降噪措施方案，方案包括但不限于：①减震降噪设计依据与规划；②采用的减震方式与材料；③采用的降噪方式与材料；④减震降噪实现的具体目标。由评委进行评分：方案涉及以上要点、内容与要点相符、每个要点均有展开详细的阐述且切合项目实际情况的得3分；方案涉及以上要点、内容与要点相符、每个要点均有展开详细的阐述且部分内容切合项目实际情况的得2分；方案所包含的要点有缺漏、内容与要点相符但仅有纲要、内容简略，未展开详细阐述但基本能够适用于本项目的得1分；未提供或内容存在明显错误、内容明显不适用于本项目需求的不得分。</w:t>
            </w:r>
          </w:p>
        </w:tc>
      </w:tr>
      <w:tr>
        <w:tblPrEx>
          <w:tblCellMar>
            <w:top w:w="0" w:type="dxa"/>
            <w:left w:w="108" w:type="dxa"/>
            <w:bottom w:w="0" w:type="dxa"/>
            <w:right w:w="108" w:type="dxa"/>
          </w:tblCellMar>
        </w:tblPrEx>
        <w:trPr>
          <w:trHeight w:val="517"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ascii="宋体" w:hAnsi="宋体" w:cs="宋体"/>
                <w:color w:val="auto"/>
              </w:rPr>
            </w:pPr>
            <w:r>
              <w:rPr>
                <w:rFonts w:hint="eastAsia" w:ascii="宋体" w:hAnsi="宋体" w:cs="宋体"/>
                <w:color w:val="auto"/>
              </w:rPr>
              <w:t>2-5</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cs="宋体"/>
                <w:color w:val="auto"/>
              </w:rPr>
            </w:pPr>
            <w:r>
              <w:rPr>
                <w:rFonts w:hint="eastAsia" w:ascii="宋体" w:hAnsi="宋体" w:cs="宋体"/>
                <w:color w:val="auto"/>
              </w:rPr>
              <w:t>3</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hint="eastAsia" w:ascii="宋体" w:hAnsi="宋体" w:cs="宋体"/>
                <w:color w:val="auto"/>
                <w:sz w:val="24"/>
              </w:rPr>
            </w:pPr>
            <w:r>
              <w:rPr>
                <w:rFonts w:hint="eastAsia" w:ascii="宋体" w:hAnsi="宋体" w:cs="宋体"/>
                <w:color w:val="auto"/>
                <w:sz w:val="24"/>
                <w:lang w:bidi="ar"/>
              </w:rPr>
              <w:t>空气源热泵机组投标所选型号应为在中国能效标识网上公布的备案产品，且性能系数COP值＜4.6的不得分，4.6≤性能系数COP值＜4.7 的得1.5分，性能系数 COP值≥4.7 的得3分。</w:t>
            </w:r>
            <w:r>
              <w:rPr>
                <w:rFonts w:hint="eastAsia" w:ascii="宋体" w:hAnsi="宋体" w:cs="宋体"/>
                <w:color w:val="auto"/>
                <w:sz w:val="24"/>
              </w:rPr>
              <w:t>投标人需提供国家认可的具有检测资质的检测机构出具的带有CMA标识的检测报告复印件。</w:t>
            </w:r>
          </w:p>
        </w:tc>
      </w:tr>
      <w:tr>
        <w:tblPrEx>
          <w:tblCellMar>
            <w:top w:w="0" w:type="dxa"/>
            <w:left w:w="108" w:type="dxa"/>
            <w:bottom w:w="0" w:type="dxa"/>
            <w:right w:w="108" w:type="dxa"/>
          </w:tblCellMar>
        </w:tblPrEx>
        <w:trPr>
          <w:trHeight w:val="517"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eastAsia="宋体" w:cs="宋体"/>
                <w:color w:val="auto"/>
                <w:lang w:eastAsia="zh-CN"/>
              </w:rPr>
            </w:pPr>
            <w:r>
              <w:rPr>
                <w:rFonts w:hint="eastAsia" w:ascii="宋体" w:hAnsi="宋体" w:cs="宋体"/>
                <w:color w:val="auto"/>
              </w:rPr>
              <w:t>2-</w:t>
            </w:r>
            <w:r>
              <w:rPr>
                <w:rFonts w:hint="eastAsia" w:ascii="宋体" w:hAnsi="宋体" w:cs="宋体"/>
                <w:color w:val="auto"/>
                <w:lang w:val="en-US" w:eastAsia="zh-CN"/>
              </w:rPr>
              <w:t>6</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ascii="宋体" w:hAnsi="宋体" w:cs="宋体"/>
                <w:color w:val="auto"/>
              </w:rPr>
            </w:pPr>
            <w:r>
              <w:rPr>
                <w:rFonts w:hint="eastAsia" w:ascii="宋体" w:hAnsi="宋体" w:cs="宋体"/>
                <w:color w:val="auto"/>
              </w:rPr>
              <w:t>1</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hint="eastAsia" w:ascii="宋体" w:hAnsi="宋体" w:cs="宋体"/>
                <w:color w:val="auto"/>
                <w:sz w:val="24"/>
              </w:rPr>
            </w:pPr>
            <w:r>
              <w:rPr>
                <w:rFonts w:hint="eastAsia" w:ascii="宋体" w:hAnsi="宋体" w:cs="宋体"/>
                <w:color w:val="auto"/>
                <w:sz w:val="24"/>
                <w:lang w:bidi="ar"/>
              </w:rPr>
              <w:t>投标人拟投入的热水管均采用符合国家环保要求的薄壁不锈钢管加保温层，管道压力不低于1.2MPa，保温层材料采用聚氨酯发泡外加PVC套管，发泡厚度达到国家标准及以上的得1分。投标人需提供</w:t>
            </w:r>
            <w:r>
              <w:rPr>
                <w:rFonts w:hint="eastAsia" w:ascii="宋体" w:hAnsi="宋体" w:cs="宋体"/>
                <w:color w:val="auto"/>
                <w:sz w:val="24"/>
              </w:rPr>
              <w:t>国家认可的具有检测资质的检测机构</w:t>
            </w:r>
            <w:r>
              <w:rPr>
                <w:rFonts w:hint="eastAsia" w:ascii="宋体" w:hAnsi="宋体" w:cs="宋体"/>
                <w:color w:val="auto"/>
                <w:sz w:val="24"/>
                <w:lang w:bidi="ar"/>
              </w:rPr>
              <w:t>出具的带有CMA标识的检测报告复印件及产品的说明书或产品彩页或官网截图。</w:t>
            </w:r>
          </w:p>
        </w:tc>
      </w:tr>
      <w:tr>
        <w:tblPrEx>
          <w:tblCellMar>
            <w:top w:w="0" w:type="dxa"/>
            <w:left w:w="108" w:type="dxa"/>
            <w:bottom w:w="0" w:type="dxa"/>
            <w:right w:w="108" w:type="dxa"/>
          </w:tblCellMar>
        </w:tblPrEx>
        <w:trPr>
          <w:trHeight w:val="1040"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eastAsia="宋体" w:cs="宋体"/>
                <w:color w:val="auto"/>
                <w:lang w:eastAsia="zh-CN"/>
              </w:rPr>
            </w:pPr>
            <w:r>
              <w:rPr>
                <w:rFonts w:hint="eastAsia" w:ascii="宋体" w:hAnsi="宋体" w:cs="宋体"/>
                <w:color w:val="auto"/>
              </w:rPr>
              <w:t>2-</w:t>
            </w:r>
            <w:r>
              <w:rPr>
                <w:rFonts w:hint="eastAsia" w:ascii="宋体" w:hAnsi="宋体" w:cs="宋体"/>
                <w:color w:val="auto"/>
                <w:lang w:val="en-US" w:eastAsia="zh-CN"/>
              </w:rPr>
              <w:t>7</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cs="宋体"/>
                <w:color w:val="auto"/>
              </w:rPr>
            </w:pPr>
            <w:r>
              <w:rPr>
                <w:rFonts w:hint="eastAsia" w:ascii="宋体" w:hAnsi="宋体" w:cs="宋体"/>
                <w:color w:val="auto"/>
              </w:rPr>
              <w:t>3</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hint="eastAsia" w:ascii="宋体" w:hAnsi="宋体" w:cs="宋体"/>
                <w:color w:val="auto"/>
                <w:sz w:val="24"/>
              </w:rPr>
            </w:pPr>
            <w:r>
              <w:rPr>
                <w:rFonts w:hint="eastAsia" w:ascii="宋体" w:hAnsi="宋体" w:cs="宋体"/>
                <w:color w:val="auto"/>
                <w:sz w:val="24"/>
                <w:lang w:bidi="ar"/>
              </w:rPr>
              <w:t>投标人提供热水系统微信公众号或小程序（或相关APP软件）方案包括但不限于：①设计规划；②可视化界面效果图或截图；③相关功能介绍及使用说，能实现线上支付、消费信息管理、问题反馈及报修等功能。由评委进行评分：方案涉及以上要点、内容与要点相符、每个要点均有展开详细的阐述且切合项目实际情况的得3分；方案涉及以上要点、内容与要点相符、每个要点均有展开详细的阐述且部分内容切合项目实际情况的得2分；方案所包含的要点有缺漏、内容与要点相符但仅有纲要、内容简略，未展开详细阐述但基本能够适用于本项目的得1分；未提供或内容存在明显错误、内容明显不适用于本项目需求的不得分。</w:t>
            </w:r>
          </w:p>
        </w:tc>
      </w:tr>
      <w:tr>
        <w:tblPrEx>
          <w:tblCellMar>
            <w:top w:w="0" w:type="dxa"/>
            <w:left w:w="108" w:type="dxa"/>
            <w:bottom w:w="0" w:type="dxa"/>
            <w:right w:w="108" w:type="dxa"/>
          </w:tblCellMar>
        </w:tblPrEx>
        <w:trPr>
          <w:trHeight w:val="780"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eastAsia="宋体" w:cs="宋体"/>
                <w:color w:val="auto"/>
                <w:lang w:eastAsia="zh-CN"/>
              </w:rPr>
            </w:pPr>
            <w:r>
              <w:rPr>
                <w:rFonts w:hint="eastAsia" w:ascii="宋体" w:hAnsi="宋体" w:cs="宋体"/>
                <w:color w:val="auto"/>
              </w:rPr>
              <w:t>2-</w:t>
            </w:r>
            <w:r>
              <w:rPr>
                <w:rFonts w:hint="eastAsia" w:ascii="宋体" w:hAnsi="宋体" w:cs="宋体"/>
                <w:color w:val="auto"/>
                <w:lang w:val="en-US" w:eastAsia="zh-CN"/>
              </w:rPr>
              <w:t>8</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cs="宋体"/>
                <w:color w:val="auto"/>
              </w:rPr>
            </w:pPr>
            <w:r>
              <w:rPr>
                <w:rFonts w:hint="eastAsia" w:ascii="宋体" w:hAnsi="宋体" w:cs="宋体"/>
                <w:color w:val="auto"/>
              </w:rPr>
              <w:t>3</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jc w:val="left"/>
              <w:rPr>
                <w:rFonts w:hint="eastAsia" w:ascii="宋体" w:hAnsi="宋体" w:cs="宋体"/>
                <w:color w:val="auto"/>
                <w:lang w:bidi="ar"/>
              </w:rPr>
            </w:pPr>
            <w:r>
              <w:rPr>
                <w:rFonts w:hint="eastAsia" w:ascii="宋体" w:hAnsi="宋体" w:cs="宋体"/>
                <w:color w:val="auto"/>
                <w:lang w:bidi="ar"/>
              </w:rPr>
              <w:t>水控机相关要求：</w:t>
            </w:r>
          </w:p>
          <w:p>
            <w:pPr>
              <w:pStyle w:val="4"/>
              <w:adjustRightInd w:val="0"/>
              <w:snapToGrid w:val="0"/>
              <w:spacing w:line="360" w:lineRule="auto"/>
              <w:jc w:val="left"/>
              <w:rPr>
                <w:rFonts w:hint="eastAsia" w:ascii="宋体" w:hAnsi="宋体" w:cs="宋体"/>
                <w:color w:val="auto"/>
                <w:lang w:bidi="ar"/>
              </w:rPr>
            </w:pPr>
            <w:r>
              <w:rPr>
                <w:rFonts w:hint="eastAsia" w:ascii="宋体" w:hAnsi="宋体" w:cs="宋体"/>
                <w:color w:val="auto"/>
                <w:lang w:bidi="ar"/>
              </w:rPr>
              <w:t>①投标人所投产品具有信息安全相关的认证证书的得1分，须提供加盖投标人公章的证书复印件。未提供得0分。</w:t>
            </w:r>
          </w:p>
          <w:p>
            <w:pPr>
              <w:pStyle w:val="4"/>
              <w:adjustRightInd w:val="0"/>
              <w:snapToGrid w:val="0"/>
              <w:spacing w:line="360" w:lineRule="auto"/>
              <w:jc w:val="left"/>
              <w:rPr>
                <w:rFonts w:hint="eastAsia" w:ascii="宋体" w:hAnsi="宋体" w:cs="宋体"/>
                <w:color w:val="auto"/>
                <w:lang w:bidi="ar"/>
              </w:rPr>
            </w:pPr>
            <w:r>
              <w:rPr>
                <w:rFonts w:hint="eastAsia" w:ascii="宋体" w:hAnsi="宋体" w:cs="宋体"/>
                <w:color w:val="auto"/>
                <w:lang w:bidi="ar"/>
              </w:rPr>
              <w:t>②智能水控器具有产品配套软件测试检测报告的得1分，须提供</w:t>
            </w:r>
            <w:r>
              <w:rPr>
                <w:rFonts w:hint="eastAsia" w:ascii="宋体" w:hAnsi="宋体" w:cs="宋体"/>
                <w:color w:val="auto"/>
              </w:rPr>
              <w:t>国家认可的具有检测资质的检测机构</w:t>
            </w:r>
            <w:r>
              <w:rPr>
                <w:rFonts w:hint="eastAsia" w:ascii="宋体" w:hAnsi="宋体" w:cs="宋体"/>
                <w:color w:val="auto"/>
                <w:lang w:bidi="ar"/>
              </w:rPr>
              <w:t>出具的带有CMA标识的检测报告复印件并加盖投标人公章。未提供得0分。</w:t>
            </w:r>
          </w:p>
          <w:p>
            <w:pPr>
              <w:pStyle w:val="4"/>
              <w:adjustRightInd w:val="0"/>
              <w:snapToGrid w:val="0"/>
              <w:spacing w:line="360" w:lineRule="auto"/>
              <w:jc w:val="left"/>
              <w:rPr>
                <w:rFonts w:hint="eastAsia"/>
                <w:color w:val="auto"/>
              </w:rPr>
            </w:pPr>
            <w:r>
              <w:rPr>
                <w:rFonts w:hint="eastAsia" w:ascii="宋体" w:hAnsi="宋体" w:cs="宋体"/>
                <w:color w:val="auto"/>
                <w:lang w:bidi="ar"/>
              </w:rPr>
              <w:t>③智能水控机通过CQC认证的得1分，须提供加盖投标人公章的相关证书复印件或网页截图。未提供得0分。</w:t>
            </w:r>
          </w:p>
        </w:tc>
      </w:tr>
      <w:tr>
        <w:tblPrEx>
          <w:tblCellMar>
            <w:top w:w="0" w:type="dxa"/>
            <w:left w:w="108" w:type="dxa"/>
            <w:bottom w:w="0" w:type="dxa"/>
            <w:right w:w="108" w:type="dxa"/>
          </w:tblCellMar>
        </w:tblPrEx>
        <w:trPr>
          <w:trHeight w:val="380"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eastAsia="宋体" w:cs="宋体"/>
                <w:color w:val="auto"/>
                <w:lang w:eastAsia="zh-CN"/>
              </w:rPr>
            </w:pPr>
            <w:r>
              <w:rPr>
                <w:rFonts w:hint="eastAsia" w:ascii="宋体" w:hAnsi="宋体" w:cs="宋体"/>
                <w:color w:val="auto"/>
              </w:rPr>
              <w:t>2-</w:t>
            </w:r>
            <w:r>
              <w:rPr>
                <w:rFonts w:hint="eastAsia" w:ascii="宋体" w:hAnsi="宋体" w:cs="宋体"/>
                <w:color w:val="auto"/>
                <w:lang w:val="en-US" w:eastAsia="zh-CN"/>
              </w:rPr>
              <w:t>9</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cs="宋体"/>
                <w:color w:val="auto"/>
              </w:rPr>
            </w:pPr>
            <w:r>
              <w:rPr>
                <w:rFonts w:hint="eastAsia" w:ascii="宋体" w:hAnsi="宋体" w:cs="宋体"/>
                <w:color w:val="auto"/>
              </w:rPr>
              <w:t>2</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hint="eastAsia" w:ascii="宋体" w:hAnsi="宋体" w:cs="宋体"/>
                <w:color w:val="auto"/>
                <w:sz w:val="24"/>
              </w:rPr>
            </w:pPr>
            <w:r>
              <w:rPr>
                <w:rFonts w:hint="eastAsia" w:ascii="宋体" w:hAnsi="宋体" w:cs="宋体"/>
                <w:color w:val="auto"/>
                <w:sz w:val="24"/>
                <w:lang w:bidi="ar"/>
              </w:rPr>
              <w:t>投标人具有与智能化数据釆集分析控制相关技术的得2分。需提供加盖投标人公章的该项技术的软件著作权登记证书复印件作为佐证材料。（注：相关技术若为投标人外购的须提供购买合同及发票凭证材料；若为投标人自有的须提供产权佐证材料，复印件加盖投标人公章，相关材料中的名称须与投标人名称一致，未提供不得分。）</w:t>
            </w:r>
          </w:p>
        </w:tc>
      </w:tr>
      <w:tr>
        <w:tblPrEx>
          <w:tblCellMar>
            <w:top w:w="0" w:type="dxa"/>
            <w:left w:w="108" w:type="dxa"/>
            <w:bottom w:w="0" w:type="dxa"/>
            <w:right w:w="108" w:type="dxa"/>
          </w:tblCellMar>
        </w:tblPrEx>
        <w:trPr>
          <w:trHeight w:val="501"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eastAsia="宋体" w:cs="宋体"/>
                <w:color w:val="auto"/>
                <w:lang w:eastAsia="zh-CN"/>
              </w:rPr>
            </w:pPr>
            <w:r>
              <w:rPr>
                <w:rFonts w:hint="eastAsia" w:ascii="宋体" w:hAnsi="宋体" w:cs="宋体"/>
                <w:color w:val="auto"/>
              </w:rPr>
              <w:t>2-1</w:t>
            </w:r>
            <w:r>
              <w:rPr>
                <w:rFonts w:hint="eastAsia" w:ascii="宋体" w:hAnsi="宋体" w:cs="宋体"/>
                <w:color w:val="auto"/>
                <w:lang w:val="en-US" w:eastAsia="zh-CN"/>
              </w:rPr>
              <w:t>0</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cs="宋体"/>
                <w:color w:val="auto"/>
                <w:kern w:val="0"/>
              </w:rPr>
            </w:pPr>
            <w:r>
              <w:rPr>
                <w:rFonts w:hint="eastAsia" w:ascii="宋体" w:hAnsi="宋体" w:cs="宋体"/>
                <w:color w:val="auto"/>
              </w:rPr>
              <w:t>3</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hint="eastAsia" w:ascii="宋体" w:hAnsi="宋体" w:cs="宋体"/>
                <w:color w:val="auto"/>
                <w:sz w:val="24"/>
              </w:rPr>
            </w:pPr>
            <w:r>
              <w:rPr>
                <w:rFonts w:hint="eastAsia" w:ascii="宋体" w:hAnsi="宋体" w:cs="宋体"/>
                <w:color w:val="auto"/>
                <w:sz w:val="24"/>
                <w:lang w:bidi="ar"/>
              </w:rPr>
              <w:t>根据投标人针对本项目所提供的技术方案是否完整、合理与先进进行评审，方案包括但不限于：①设计依据与标准；②热水系统的设计方案；③设备仪器配制规格和品牌；④系统用材用料说明；⑤使用材料规格和品牌、质量；</w:t>
            </w:r>
            <w:r>
              <w:rPr>
                <w:rFonts w:hint="eastAsia" w:ascii="宋体" w:hAnsi="宋体" w:cs="宋体"/>
                <w:color w:val="auto"/>
                <w:sz w:val="24"/>
                <w:lang w:val="zh-CN" w:bidi="ar"/>
              </w:rPr>
              <w:t>⑥</w:t>
            </w:r>
            <w:r>
              <w:rPr>
                <w:rFonts w:hint="eastAsia" w:ascii="宋体" w:hAnsi="宋体" w:cs="宋体"/>
                <w:color w:val="auto"/>
                <w:sz w:val="24"/>
                <w:lang w:bidi="ar"/>
              </w:rPr>
              <w:t>施工安装图、管网配制、管网轴侧图、节点大详图；</w:t>
            </w:r>
            <w:r>
              <w:rPr>
                <w:rFonts w:hint="eastAsia" w:ascii="宋体" w:hAnsi="宋体" w:cs="宋体"/>
                <w:color w:val="auto"/>
                <w:sz w:val="24"/>
                <w:lang w:val="zh-CN" w:bidi="ar"/>
              </w:rPr>
              <w:t>⑦</w:t>
            </w:r>
            <w:r>
              <w:rPr>
                <w:rFonts w:hint="eastAsia" w:ascii="宋体" w:hAnsi="宋体" w:cs="宋体"/>
                <w:color w:val="auto"/>
                <w:sz w:val="24"/>
                <w:lang w:bidi="ar"/>
              </w:rPr>
              <w:t>项目建设时由投资人自行解决的动力线路改造施工方案；</w:t>
            </w:r>
            <w:r>
              <w:rPr>
                <w:rFonts w:hint="eastAsia" w:ascii="宋体" w:hAnsi="宋体" w:cs="宋体"/>
                <w:color w:val="auto"/>
                <w:sz w:val="24"/>
                <w:lang w:val="zh-CN" w:bidi="ar"/>
              </w:rPr>
              <w:t>⑧</w:t>
            </w:r>
            <w:r>
              <w:rPr>
                <w:rFonts w:hint="eastAsia" w:ascii="宋体" w:hAnsi="宋体" w:cs="宋体"/>
                <w:color w:val="auto"/>
                <w:sz w:val="24"/>
                <w:lang w:bidi="ar"/>
              </w:rPr>
              <w:t>水温、水压、水量、热水末端防堵、水质卫生与安全保障措施说明等，能保证项目实施及确保后期效果。由评委进行评分：方案涉及以上要点、内容与要点相符、每个要点均有展开详细的阐述且切合项目实际情况的得3分；方案涉及以上要点、内容与要点相符、每个要点均有展开详细的阐述且部分内容切合项目实际情况的得2分；方案所包含的要点有缺漏、内容与要点相符但仅有纲要、内容简略，未展开详细阐述但基本能够适用于本项目的得1分；未提供或内容存在明显错误、内容明显不适用于本项目需求的不得分。</w:t>
            </w:r>
          </w:p>
        </w:tc>
      </w:tr>
      <w:tr>
        <w:tblPrEx>
          <w:tblCellMar>
            <w:top w:w="0" w:type="dxa"/>
            <w:left w:w="108" w:type="dxa"/>
            <w:bottom w:w="0" w:type="dxa"/>
            <w:right w:w="108" w:type="dxa"/>
          </w:tblCellMar>
        </w:tblPrEx>
        <w:trPr>
          <w:trHeight w:val="447"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eastAsia="宋体" w:cs="宋体"/>
                <w:color w:val="auto"/>
                <w:lang w:eastAsia="zh-CN"/>
              </w:rPr>
            </w:pPr>
            <w:r>
              <w:rPr>
                <w:rFonts w:hint="eastAsia" w:ascii="宋体" w:hAnsi="宋体" w:cs="宋体"/>
                <w:color w:val="auto"/>
              </w:rPr>
              <w:t>2-1</w:t>
            </w:r>
            <w:r>
              <w:rPr>
                <w:rFonts w:hint="eastAsia" w:ascii="宋体" w:hAnsi="宋体" w:cs="宋体"/>
                <w:color w:val="auto"/>
                <w:lang w:val="en-US" w:eastAsia="zh-CN"/>
              </w:rPr>
              <w:t>1</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ascii="宋体" w:hAnsi="宋体" w:cs="宋体"/>
                <w:color w:val="auto"/>
              </w:rPr>
            </w:pPr>
            <w:r>
              <w:rPr>
                <w:rFonts w:hint="eastAsia" w:ascii="宋体" w:hAnsi="宋体" w:cs="宋体"/>
                <w:color w:val="auto"/>
              </w:rPr>
              <w:t>3</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color w:val="auto"/>
                <w:sz w:val="24"/>
              </w:rPr>
            </w:pPr>
            <w:r>
              <w:rPr>
                <w:rFonts w:hint="eastAsia" w:ascii="宋体" w:hAnsi="宋体" w:cs="宋体"/>
                <w:color w:val="auto"/>
                <w:sz w:val="24"/>
                <w:lang w:bidi="ar"/>
              </w:rPr>
              <w:t>根据投标人提供的空气源热泵系统远程监测系统方案进行评审，方案包含但不限于：①监控系统构建；②监控内容及数据的存储导出；③监控系统运维。由评委进行评分：方案涉及以上要点、内容与要点相符、每个要点均有展开详细的阐述且切合项目实际情况的得3分；方案涉及以上要点、内容与要点相符、每个要点均有展开详细的阐述且部分内容切合项目实际情况的得2分；方案所包含的要点有缺漏、内容与要点相符但仅有纲要、内容简略，未展开详细阐述但基本能够适用于本项目的得1分；未提供或内容存在明显错误、内容明显不适用于本项目需求的不得分。</w:t>
            </w:r>
          </w:p>
        </w:tc>
      </w:tr>
      <w:tr>
        <w:tblPrEx>
          <w:tblCellMar>
            <w:top w:w="0" w:type="dxa"/>
            <w:left w:w="108" w:type="dxa"/>
            <w:bottom w:w="0" w:type="dxa"/>
            <w:right w:w="108" w:type="dxa"/>
          </w:tblCellMar>
        </w:tblPrEx>
        <w:trPr>
          <w:trHeight w:val="447"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eastAsia="宋体" w:cs="宋体"/>
                <w:color w:val="auto"/>
                <w:lang w:eastAsia="zh-CN"/>
              </w:rPr>
            </w:pPr>
            <w:r>
              <w:rPr>
                <w:rFonts w:hint="eastAsia" w:ascii="宋体" w:hAnsi="宋体" w:cs="宋体"/>
                <w:color w:val="auto"/>
              </w:rPr>
              <w:t>2-1</w:t>
            </w:r>
            <w:r>
              <w:rPr>
                <w:rFonts w:hint="eastAsia" w:ascii="宋体" w:hAnsi="宋体" w:cs="宋体"/>
                <w:color w:val="auto"/>
                <w:lang w:val="en-US" w:eastAsia="zh-CN"/>
              </w:rPr>
              <w:t>2</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cs="宋体"/>
                <w:color w:val="auto"/>
              </w:rPr>
            </w:pPr>
            <w:r>
              <w:rPr>
                <w:rFonts w:hint="eastAsia" w:ascii="宋体" w:hAnsi="宋体" w:cs="宋体"/>
                <w:color w:val="auto"/>
              </w:rPr>
              <w:t>3</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hint="eastAsia" w:ascii="宋体" w:hAnsi="宋体" w:cs="宋体"/>
                <w:color w:val="auto"/>
                <w:sz w:val="24"/>
              </w:rPr>
            </w:pPr>
            <w:r>
              <w:rPr>
                <w:rFonts w:hint="eastAsia" w:ascii="宋体" w:hAnsi="宋体" w:cs="宋体"/>
                <w:color w:val="auto"/>
                <w:sz w:val="24"/>
                <w:lang w:bidi="ar"/>
              </w:rPr>
              <w:t>根据投标人针对本项目所提供的施工整体方案进行评审，方案包括但不限于：①项目概况；②安全及文明施工保证方案；③质量保证方案；④安装组织进度计划；⑤技术交底；</w:t>
            </w:r>
            <w:r>
              <w:rPr>
                <w:rFonts w:hint="eastAsia" w:ascii="宋体" w:hAnsi="宋体" w:cs="宋体"/>
                <w:color w:val="auto"/>
                <w:sz w:val="24"/>
                <w:lang w:val="zh-CN" w:bidi="ar"/>
              </w:rPr>
              <w:t>⑥</w:t>
            </w:r>
            <w:r>
              <w:rPr>
                <w:rFonts w:hint="eastAsia" w:ascii="宋体" w:hAnsi="宋体" w:cs="宋体"/>
                <w:color w:val="auto"/>
                <w:sz w:val="24"/>
                <w:lang w:bidi="ar"/>
              </w:rPr>
              <w:t>安装质量管理；</w:t>
            </w:r>
            <w:r>
              <w:rPr>
                <w:rFonts w:hint="eastAsia" w:ascii="宋体" w:hAnsi="宋体" w:cs="宋体"/>
                <w:color w:val="auto"/>
                <w:sz w:val="24"/>
                <w:lang w:val="zh-CN" w:bidi="ar"/>
              </w:rPr>
              <w:t>⑦</w:t>
            </w:r>
            <w:r>
              <w:rPr>
                <w:rFonts w:hint="eastAsia" w:ascii="宋体" w:hAnsi="宋体" w:cs="宋体"/>
                <w:color w:val="auto"/>
                <w:sz w:val="24"/>
                <w:lang w:bidi="ar"/>
              </w:rPr>
              <w:t>施工安全管理；</w:t>
            </w:r>
            <w:r>
              <w:rPr>
                <w:rFonts w:hint="eastAsia" w:ascii="宋体" w:hAnsi="宋体" w:cs="宋体"/>
                <w:color w:val="auto"/>
                <w:sz w:val="24"/>
                <w:lang w:val="zh-CN" w:bidi="ar"/>
              </w:rPr>
              <w:t>⑧</w:t>
            </w:r>
            <w:r>
              <w:rPr>
                <w:rFonts w:hint="eastAsia" w:ascii="宋体" w:hAnsi="宋体" w:cs="宋体"/>
                <w:color w:val="auto"/>
                <w:sz w:val="24"/>
                <w:lang w:bidi="ar"/>
              </w:rPr>
              <w:t>应急预案等，能保证项目实施及确保后期效果。由评委进行评分：方案涉及以上要点、内容与要点相符、每个要点均有展开详细的阐述且切合项目实际情况的得3分；方案涉及以上要点、内容与要点相符、每个要点均有展开详细的阐述且部分内容切合项目实际情况的得2分；方案所包含的要点有缺漏、内容与要点相符但仅有纲要、内容简略，未展开详细阐述但基本能够适用于本项目的得1分；未提供或内容存在明显错误、内容明显不适用于本项目需求的不得分。</w:t>
            </w:r>
          </w:p>
        </w:tc>
      </w:tr>
      <w:tr>
        <w:tblPrEx>
          <w:tblCellMar>
            <w:top w:w="0" w:type="dxa"/>
            <w:left w:w="108" w:type="dxa"/>
            <w:bottom w:w="0" w:type="dxa"/>
            <w:right w:w="108" w:type="dxa"/>
          </w:tblCellMar>
        </w:tblPrEx>
        <w:trPr>
          <w:trHeight w:val="90"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eastAsia="宋体" w:cs="宋体"/>
                <w:color w:val="auto"/>
                <w:lang w:eastAsia="zh-CN"/>
              </w:rPr>
            </w:pPr>
            <w:r>
              <w:rPr>
                <w:rFonts w:hint="eastAsia" w:ascii="宋体" w:hAnsi="宋体" w:cs="宋体"/>
                <w:color w:val="auto"/>
              </w:rPr>
              <w:t>2-1</w:t>
            </w:r>
            <w:r>
              <w:rPr>
                <w:rFonts w:hint="eastAsia" w:ascii="宋体" w:hAnsi="宋体" w:cs="宋体"/>
                <w:color w:val="auto"/>
                <w:lang w:val="en-US" w:eastAsia="zh-CN"/>
              </w:rPr>
              <w:t>3</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cs="宋体"/>
                <w:color w:val="auto"/>
              </w:rPr>
            </w:pPr>
            <w:r>
              <w:rPr>
                <w:rFonts w:hint="eastAsia" w:ascii="宋体" w:hAnsi="宋体" w:cs="宋体"/>
                <w:color w:val="auto"/>
              </w:rPr>
              <w:t>3</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color w:val="auto"/>
                <w:sz w:val="24"/>
              </w:rPr>
            </w:pPr>
            <w:r>
              <w:rPr>
                <w:rFonts w:hint="eastAsia" w:ascii="宋体" w:hAnsi="宋体" w:cs="宋体"/>
                <w:color w:val="auto"/>
                <w:sz w:val="24"/>
                <w:lang w:bidi="ar"/>
              </w:rPr>
              <w:t>根据投标人针对本项目制定的热水系统的运行与管理方案进行评审，包括但不限于：①热水系统的运行与管理服务计划；②</w:t>
            </w:r>
            <w:r>
              <w:rPr>
                <w:rFonts w:hint="eastAsia" w:ascii="宋体" w:hAnsi="宋体" w:cs="宋体"/>
                <w:color w:val="auto"/>
                <w:sz w:val="24"/>
                <w:lang w:val="zh-CN" w:bidi="ar"/>
              </w:rPr>
              <w:t>故障处理</w:t>
            </w:r>
            <w:r>
              <w:rPr>
                <w:rFonts w:hint="eastAsia" w:ascii="宋体" w:hAnsi="宋体" w:cs="宋体"/>
                <w:color w:val="auto"/>
                <w:sz w:val="24"/>
                <w:lang w:bidi="ar"/>
              </w:rPr>
              <w:t>相关应急预案③人员管理制度；④相关设备操作规程；⑤维修维护措施；⑥</w:t>
            </w:r>
            <w:r>
              <w:rPr>
                <w:rFonts w:hint="eastAsia" w:ascii="宋体" w:hAnsi="宋体" w:cs="宋体"/>
                <w:color w:val="auto"/>
                <w:sz w:val="24"/>
                <w:lang w:val="zh-CN" w:bidi="ar"/>
              </w:rPr>
              <w:t>严格的安全保障；⑦投诉处理</w:t>
            </w:r>
            <w:r>
              <w:rPr>
                <w:rFonts w:hint="eastAsia" w:ascii="宋体" w:hAnsi="宋体" w:cs="宋体"/>
                <w:color w:val="auto"/>
                <w:sz w:val="24"/>
                <w:lang w:bidi="ar"/>
              </w:rPr>
              <w:t>。由评委进行评分：方案涉及以上要点、内容与要点相符、每个要点均有展开详细的阐述且切合项目实际情况的得3分；方案涉及以上要点、内容与要点相符、每个要点均有展开详细的阐述且部分内容切合项目实际情况的得2分；方案所包含的要点有缺漏、内容与要点相符但仅有纲要、内容简略，未展开详细阐述但基本能够适用于本项目的得1分；未提供或内容存在明显错误、内容明显不适用于本项目需求的不得分。</w:t>
            </w:r>
          </w:p>
        </w:tc>
      </w:tr>
      <w:tr>
        <w:tblPrEx>
          <w:tblCellMar>
            <w:top w:w="0" w:type="dxa"/>
            <w:left w:w="108" w:type="dxa"/>
            <w:bottom w:w="0" w:type="dxa"/>
            <w:right w:w="108" w:type="dxa"/>
          </w:tblCellMar>
        </w:tblPrEx>
        <w:trPr>
          <w:trHeight w:val="90"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eastAsia="宋体" w:cs="宋体"/>
                <w:color w:val="auto"/>
                <w:lang w:eastAsia="zh-CN"/>
              </w:rPr>
            </w:pPr>
            <w:r>
              <w:rPr>
                <w:rFonts w:hint="eastAsia" w:ascii="宋体" w:hAnsi="宋体" w:cs="宋体"/>
                <w:color w:val="auto"/>
              </w:rPr>
              <w:t>2-1</w:t>
            </w:r>
            <w:r>
              <w:rPr>
                <w:rFonts w:hint="eastAsia" w:ascii="宋体" w:hAnsi="宋体" w:cs="宋体"/>
                <w:color w:val="auto"/>
                <w:lang w:val="en-US" w:eastAsia="zh-CN"/>
              </w:rPr>
              <w:t>4</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default" w:ascii="宋体" w:hAnsi="宋体" w:eastAsia="宋体" w:cs="宋体"/>
                <w:color w:val="auto"/>
                <w:lang w:val="en-US" w:eastAsia="zh-CN"/>
              </w:rPr>
            </w:pPr>
            <w:r>
              <w:rPr>
                <w:rFonts w:hint="eastAsia" w:ascii="宋体" w:hAnsi="宋体" w:cs="宋体"/>
                <w:color w:val="auto"/>
                <w:lang w:val="en-US" w:eastAsia="zh-CN"/>
              </w:rPr>
              <w:t>1.5</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color w:val="auto"/>
                <w:sz w:val="24"/>
              </w:rPr>
            </w:pPr>
            <w:r>
              <w:rPr>
                <w:rFonts w:hint="eastAsia" w:ascii="宋体" w:hAnsi="宋体" w:cs="宋体"/>
                <w:color w:val="auto"/>
                <w:sz w:val="24"/>
                <w:lang w:bidi="ar"/>
              </w:rPr>
              <w:t>根据投标人提供的本项目软硬件接口设计方案进行评审，应满足学校所需第三方企业无门槛接入的可能，方案包括但不限于：①API接口方式及通用性；②硬件接口类型及通用性；③系统支持对接的第三方企业数量及方法；④系统可支持匹配的多种硬件情况。由评委进行评分：方案涉及以上要点、内容与要点相符、每个要点均有展开详细的阐述且切合项目实际情况的得</w:t>
            </w:r>
            <w:r>
              <w:rPr>
                <w:rFonts w:hint="eastAsia" w:ascii="宋体" w:hAnsi="宋体" w:cs="宋体"/>
                <w:color w:val="auto"/>
                <w:sz w:val="24"/>
                <w:lang w:val="en-US" w:eastAsia="zh-CN" w:bidi="ar"/>
              </w:rPr>
              <w:t>1.5</w:t>
            </w:r>
            <w:r>
              <w:rPr>
                <w:rFonts w:hint="eastAsia" w:ascii="宋体" w:hAnsi="宋体" w:cs="宋体"/>
                <w:color w:val="auto"/>
                <w:sz w:val="24"/>
                <w:lang w:bidi="ar"/>
              </w:rPr>
              <w:t>分；方案涉及以上要点、内容与要点相符、每个要点均有展开详细的阐述且部分内容切合项目实际情况的得</w:t>
            </w:r>
            <w:r>
              <w:rPr>
                <w:rFonts w:hint="eastAsia" w:ascii="宋体" w:hAnsi="宋体" w:cs="宋体"/>
                <w:color w:val="auto"/>
                <w:sz w:val="24"/>
                <w:lang w:val="en-US" w:eastAsia="zh-CN" w:bidi="ar"/>
              </w:rPr>
              <w:t>1</w:t>
            </w:r>
            <w:r>
              <w:rPr>
                <w:rFonts w:hint="eastAsia" w:ascii="宋体" w:hAnsi="宋体" w:cs="宋体"/>
                <w:color w:val="auto"/>
                <w:sz w:val="24"/>
                <w:lang w:bidi="ar"/>
              </w:rPr>
              <w:t>分；方案所包含的要点有缺漏、内容与要点相符但仅有纲要、内容简略，未展开详细阐述但基本能够适用于本项目的得</w:t>
            </w:r>
            <w:r>
              <w:rPr>
                <w:rFonts w:hint="eastAsia" w:ascii="宋体" w:hAnsi="宋体" w:cs="宋体"/>
                <w:color w:val="auto"/>
                <w:sz w:val="24"/>
                <w:lang w:val="en-US" w:eastAsia="zh-CN" w:bidi="ar"/>
              </w:rPr>
              <w:t>0.5</w:t>
            </w:r>
            <w:r>
              <w:rPr>
                <w:rFonts w:hint="eastAsia" w:ascii="宋体" w:hAnsi="宋体" w:cs="宋体"/>
                <w:color w:val="auto"/>
                <w:sz w:val="24"/>
                <w:lang w:bidi="ar"/>
              </w:rPr>
              <w:t>分；未提供或内容存在明显错误、内容明显不适用于本项目需求的不得分。</w:t>
            </w:r>
          </w:p>
        </w:tc>
      </w:tr>
      <w:tr>
        <w:tblPrEx>
          <w:tblCellMar>
            <w:top w:w="0" w:type="dxa"/>
            <w:left w:w="108" w:type="dxa"/>
            <w:bottom w:w="0" w:type="dxa"/>
            <w:right w:w="108" w:type="dxa"/>
          </w:tblCellMar>
        </w:tblPrEx>
        <w:trPr>
          <w:trHeight w:val="90"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eastAsia="宋体" w:cs="宋体"/>
                <w:color w:val="auto"/>
                <w:lang w:eastAsia="zh-CN"/>
              </w:rPr>
            </w:pPr>
            <w:r>
              <w:rPr>
                <w:rFonts w:hint="eastAsia" w:ascii="宋体" w:hAnsi="宋体" w:cs="宋体"/>
                <w:color w:val="auto"/>
              </w:rPr>
              <w:t>2-1</w:t>
            </w:r>
            <w:r>
              <w:rPr>
                <w:rFonts w:hint="eastAsia" w:ascii="宋体" w:hAnsi="宋体" w:cs="宋体"/>
                <w:color w:val="auto"/>
                <w:lang w:val="en-US" w:eastAsia="zh-CN"/>
              </w:rPr>
              <w:t>5</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cs="宋体"/>
                <w:color w:val="auto"/>
              </w:rPr>
            </w:pPr>
            <w:r>
              <w:rPr>
                <w:rFonts w:hint="eastAsia" w:ascii="宋体" w:hAnsi="宋体" w:cs="宋体"/>
                <w:color w:val="auto"/>
              </w:rPr>
              <w:t>3</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hint="eastAsia" w:ascii="宋体" w:hAnsi="宋体" w:cs="宋体"/>
                <w:color w:val="auto"/>
                <w:sz w:val="24"/>
              </w:rPr>
            </w:pPr>
            <w:r>
              <w:rPr>
                <w:rFonts w:hint="eastAsia" w:ascii="宋体" w:hAnsi="宋体" w:cs="宋体"/>
                <w:color w:val="auto"/>
                <w:sz w:val="24"/>
                <w:lang w:bidi="ar"/>
              </w:rPr>
              <w:t>根据投标人能源监控管理平台所具有的功能情况，由评委进行评分：①具有水电能耗采集，汇总，统计分析功能；②具有热泵、水控机等关键设备运行参数监测功能；③具有系统故障在线预警和定位功能；④具有工作日志功能；⑤信息发布功能。每具有一个功能得0.6分，满分3分。应在投标文件中提供以上相应具体功能的系统截图（须体现相关监测参数）予以佐证，未提供的不得分。</w:t>
            </w:r>
          </w:p>
        </w:tc>
      </w:tr>
      <w:tr>
        <w:tblPrEx>
          <w:tblCellMar>
            <w:top w:w="0" w:type="dxa"/>
            <w:left w:w="108" w:type="dxa"/>
            <w:bottom w:w="0" w:type="dxa"/>
            <w:right w:w="108" w:type="dxa"/>
          </w:tblCellMar>
        </w:tblPrEx>
        <w:trPr>
          <w:trHeight w:val="1040"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eastAsia="宋体" w:cs="宋体"/>
                <w:color w:val="auto"/>
                <w:lang w:eastAsia="zh-CN"/>
              </w:rPr>
            </w:pPr>
            <w:r>
              <w:rPr>
                <w:rFonts w:hint="eastAsia" w:ascii="宋体" w:hAnsi="宋体" w:cs="宋体"/>
                <w:color w:val="auto"/>
              </w:rPr>
              <w:t>2-1</w:t>
            </w:r>
            <w:r>
              <w:rPr>
                <w:rFonts w:hint="eastAsia" w:ascii="宋体" w:hAnsi="宋体" w:cs="宋体"/>
                <w:color w:val="auto"/>
                <w:lang w:val="en-US" w:eastAsia="zh-CN"/>
              </w:rPr>
              <w:t>6</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cs="宋体"/>
                <w:color w:val="auto"/>
              </w:rPr>
            </w:pPr>
            <w:r>
              <w:rPr>
                <w:rFonts w:hint="eastAsia" w:ascii="宋体" w:hAnsi="宋体" w:cs="宋体"/>
                <w:color w:val="auto"/>
              </w:rPr>
              <w:t>2</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ascii="宋体" w:hAnsi="宋体" w:cs="宋体"/>
                <w:color w:val="auto"/>
                <w:sz w:val="24"/>
              </w:rPr>
            </w:pPr>
            <w:r>
              <w:rPr>
                <w:rFonts w:hint="eastAsia" w:ascii="宋体" w:hAnsi="宋体" w:cs="宋体"/>
                <w:color w:val="auto"/>
                <w:sz w:val="24"/>
                <w:lang w:bidi="ar"/>
              </w:rPr>
              <w:t>投标人拟投入水控设备可以满足当系统处于升级、宕机或外部运营商断网的情况下，具备可记录脱机消费数据，恢复后自动进行扣费功能的得2分。投标人须提供</w:t>
            </w:r>
            <w:r>
              <w:rPr>
                <w:rFonts w:hint="eastAsia" w:ascii="宋体" w:hAnsi="宋体" w:cs="宋体"/>
                <w:color w:val="auto"/>
                <w:sz w:val="24"/>
              </w:rPr>
              <w:t>国家认可的具有检测资质的检测机构</w:t>
            </w:r>
            <w:r>
              <w:rPr>
                <w:rFonts w:hint="eastAsia" w:ascii="宋体" w:hAnsi="宋体" w:cs="宋体"/>
                <w:color w:val="auto"/>
                <w:sz w:val="24"/>
                <w:lang w:bidi="ar"/>
              </w:rPr>
              <w:t>出具的带有CMA标识的检测报告复印件并加盖投标人公章，未提供的不得分。</w:t>
            </w:r>
          </w:p>
        </w:tc>
      </w:tr>
      <w:tr>
        <w:tblPrEx>
          <w:tblCellMar>
            <w:top w:w="0" w:type="dxa"/>
            <w:left w:w="108" w:type="dxa"/>
            <w:bottom w:w="0" w:type="dxa"/>
            <w:right w:w="108" w:type="dxa"/>
          </w:tblCellMar>
        </w:tblPrEx>
        <w:trPr>
          <w:trHeight w:val="172" w:hRule="atLeast"/>
          <w:jc w:val="center"/>
        </w:trPr>
        <w:tc>
          <w:tcPr>
            <w:tcW w:w="839"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default" w:ascii="宋体" w:hAnsi="宋体" w:eastAsia="宋体" w:cs="宋体"/>
                <w:color w:val="auto"/>
                <w:lang w:val="en-US" w:eastAsia="zh-CN"/>
              </w:rPr>
            </w:pPr>
            <w:r>
              <w:rPr>
                <w:rFonts w:hint="eastAsia" w:ascii="宋体" w:hAnsi="宋体" w:cs="宋体"/>
                <w:color w:val="auto"/>
              </w:rPr>
              <w:t>2-</w:t>
            </w:r>
            <w:r>
              <w:rPr>
                <w:rFonts w:hint="eastAsia" w:ascii="宋体" w:hAnsi="宋体" w:cs="宋体"/>
                <w:color w:val="auto"/>
                <w:lang w:val="en-US" w:eastAsia="zh-CN"/>
              </w:rPr>
              <w:t>17</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pStyle w:val="4"/>
              <w:adjustRightInd w:val="0"/>
              <w:snapToGrid w:val="0"/>
              <w:spacing w:line="360" w:lineRule="auto"/>
              <w:rPr>
                <w:rFonts w:hint="eastAsia" w:ascii="宋体" w:hAnsi="宋体" w:eastAsia="宋体" w:cs="宋体"/>
                <w:color w:val="auto"/>
                <w:lang w:eastAsia="zh-CN"/>
              </w:rPr>
            </w:pPr>
            <w:r>
              <w:rPr>
                <w:rFonts w:hint="default" w:ascii="宋体" w:hAnsi="宋体" w:cs="宋体"/>
                <w:color w:val="auto"/>
                <w:lang w:val="en-US"/>
              </w:rPr>
              <w:t>1.5</w:t>
            </w:r>
          </w:p>
        </w:tc>
        <w:tc>
          <w:tcPr>
            <w:tcW w:w="686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60" w:lineRule="auto"/>
              <w:rPr>
                <w:rFonts w:hint="eastAsia" w:ascii="宋体" w:hAnsi="宋体" w:cs="宋体"/>
                <w:color w:val="auto"/>
                <w:sz w:val="24"/>
              </w:rPr>
            </w:pPr>
            <w:r>
              <w:rPr>
                <w:rFonts w:hint="eastAsia" w:ascii="宋体" w:hAnsi="宋体" w:cs="宋体"/>
                <w:color w:val="auto"/>
                <w:sz w:val="24"/>
                <w:lang w:bidi="ar"/>
              </w:rPr>
              <w:t xml:space="preserve">本项目建成验收后30天内中标人须提供具备资质的第三方审计机构对其投资进行审核，审核结果作为校方后期资产折旧及入账的依据，投标文件中提供书面承诺得 </w:t>
            </w:r>
            <w:r>
              <w:rPr>
                <w:rFonts w:hint="default" w:ascii="宋体" w:hAnsi="宋体" w:cs="宋体"/>
                <w:color w:val="auto"/>
                <w:sz w:val="24"/>
                <w:lang w:val="en-US" w:bidi="ar"/>
              </w:rPr>
              <w:t>1.5</w:t>
            </w:r>
            <w:r>
              <w:rPr>
                <w:rFonts w:hint="eastAsia" w:ascii="宋体" w:hAnsi="宋体" w:cs="宋体"/>
                <w:color w:val="auto"/>
                <w:sz w:val="24"/>
                <w:lang w:bidi="ar"/>
              </w:rPr>
              <w:t>分，否则不得分。</w:t>
            </w:r>
          </w:p>
        </w:tc>
      </w:tr>
    </w:tbl>
    <w:p>
      <w:pPr>
        <w:pStyle w:val="2"/>
        <w:rPr>
          <w:rFonts w:hint="eastAsia"/>
          <w:color w:val="auto"/>
        </w:rPr>
      </w:pPr>
    </w:p>
    <w:p>
      <w:pPr>
        <w:adjustRightInd w:val="0"/>
        <w:snapToGrid w:val="0"/>
        <w:spacing w:line="360" w:lineRule="auto"/>
        <w:rPr>
          <w:rFonts w:hint="eastAsia" w:ascii="宋体" w:hAnsi="宋体"/>
          <w:b/>
          <w:color w:val="auto"/>
          <w:sz w:val="24"/>
        </w:rPr>
      </w:pPr>
      <w:r>
        <w:rPr>
          <w:rFonts w:hint="eastAsia" w:ascii="宋体" w:hAnsi="宋体"/>
          <w:b/>
          <w:color w:val="auto"/>
          <w:sz w:val="24"/>
        </w:rPr>
        <w:t>Ⅱ 商务部分评分（PB）   满分</w:t>
      </w:r>
      <w:r>
        <w:rPr>
          <w:rFonts w:hint="eastAsia" w:ascii="宋体" w:hAnsi="宋体"/>
          <w:b/>
          <w:color w:val="auto"/>
          <w:sz w:val="24"/>
          <w:u w:val="single"/>
        </w:rPr>
        <w:t xml:space="preserve"> </w:t>
      </w:r>
      <w:r>
        <w:rPr>
          <w:rFonts w:hint="eastAsia" w:ascii="宋体" w:hAnsi="宋体"/>
          <w:b/>
          <w:color w:val="auto"/>
          <w:sz w:val="24"/>
          <w:u w:val="single"/>
          <w:lang w:val="en-US" w:eastAsia="zh-CN"/>
        </w:rPr>
        <w:t>11</w:t>
      </w:r>
      <w:r>
        <w:rPr>
          <w:rFonts w:hint="eastAsia" w:ascii="宋体" w:hAnsi="宋体"/>
          <w:b/>
          <w:color w:val="auto"/>
          <w:sz w:val="24"/>
        </w:rPr>
        <w:t>分</w:t>
      </w:r>
    </w:p>
    <w:tbl>
      <w:tblPr>
        <w:tblStyle w:val="7"/>
        <w:tblW w:w="8434" w:type="dxa"/>
        <w:tblInd w:w="-11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0" w:type="dxa"/>
          <w:left w:w="0" w:type="dxa"/>
          <w:bottom w:w="0" w:type="dxa"/>
          <w:right w:w="0" w:type="dxa"/>
        </w:tblCellMar>
      </w:tblPr>
      <w:tblGrid>
        <w:gridCol w:w="853"/>
        <w:gridCol w:w="919"/>
        <w:gridCol w:w="6662"/>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blHeader/>
        </w:trPr>
        <w:tc>
          <w:tcPr>
            <w:tcW w:w="853" w:type="dxa"/>
            <w:tcBorders>
              <w:top w:val="single" w:color="666666" w:sz="6" w:space="0"/>
              <w:left w:val="single" w:color="666666" w:sz="6" w:space="0"/>
              <w:bottom w:val="single" w:color="666666" w:sz="6" w:space="0"/>
              <w:right w:val="single" w:color="666666" w:sz="6" w:space="0"/>
            </w:tcBorders>
            <w:noWrap w:val="0"/>
            <w:vAlign w:val="center"/>
          </w:tcPr>
          <w:p>
            <w:pPr>
              <w:widowControl/>
              <w:adjustRightInd w:val="0"/>
              <w:snapToGrid w:val="0"/>
              <w:spacing w:line="360" w:lineRule="auto"/>
              <w:jc w:val="center"/>
              <w:rPr>
                <w:rFonts w:ascii="宋体" w:hAnsi="宋体" w:cs="宋体"/>
                <w:color w:val="auto"/>
                <w:kern w:val="0"/>
                <w:sz w:val="24"/>
                <w:lang w:bidi="as-IN"/>
              </w:rPr>
            </w:pPr>
            <w:r>
              <w:rPr>
                <w:rFonts w:hint="eastAsia" w:ascii="宋体" w:hAnsi="宋体" w:cs="宋体"/>
                <w:color w:val="auto"/>
                <w:kern w:val="0"/>
                <w:sz w:val="24"/>
                <w:lang w:bidi="as-IN"/>
              </w:rPr>
              <w:t>评标</w:t>
            </w:r>
          </w:p>
          <w:p>
            <w:pPr>
              <w:widowControl/>
              <w:adjustRightInd w:val="0"/>
              <w:snapToGrid w:val="0"/>
              <w:spacing w:line="360" w:lineRule="auto"/>
              <w:jc w:val="center"/>
              <w:rPr>
                <w:rFonts w:ascii="宋体" w:hAnsi="宋体" w:cs="宋体"/>
                <w:color w:val="auto"/>
                <w:kern w:val="0"/>
                <w:sz w:val="24"/>
                <w:lang w:bidi="as-IN"/>
              </w:rPr>
            </w:pPr>
            <w:r>
              <w:rPr>
                <w:rFonts w:hint="eastAsia" w:ascii="宋体" w:hAnsi="宋体" w:cs="宋体"/>
                <w:color w:val="auto"/>
                <w:kern w:val="0"/>
                <w:sz w:val="24"/>
                <w:lang w:bidi="as-IN"/>
              </w:rPr>
              <w:t>项目</w:t>
            </w:r>
          </w:p>
        </w:tc>
        <w:tc>
          <w:tcPr>
            <w:tcW w:w="919" w:type="dxa"/>
            <w:tcBorders>
              <w:top w:val="single" w:color="666666" w:sz="6" w:space="0"/>
              <w:left w:val="single" w:color="666666" w:sz="6" w:space="0"/>
              <w:bottom w:val="single" w:color="666666" w:sz="6" w:space="0"/>
              <w:right w:val="single" w:color="666666" w:sz="6" w:space="0"/>
            </w:tcBorders>
            <w:noWrap w:val="0"/>
            <w:vAlign w:val="center"/>
          </w:tcPr>
          <w:p>
            <w:pPr>
              <w:widowControl/>
              <w:adjustRightInd w:val="0"/>
              <w:snapToGrid w:val="0"/>
              <w:spacing w:line="360" w:lineRule="auto"/>
              <w:jc w:val="center"/>
              <w:rPr>
                <w:rFonts w:ascii="宋体" w:hAnsi="宋体" w:cs="宋体"/>
                <w:color w:val="auto"/>
                <w:kern w:val="0"/>
                <w:sz w:val="24"/>
                <w:lang w:bidi="as-IN"/>
              </w:rPr>
            </w:pPr>
            <w:r>
              <w:rPr>
                <w:rFonts w:hint="eastAsia" w:ascii="宋体" w:hAnsi="宋体" w:cs="宋体"/>
                <w:color w:val="auto"/>
                <w:kern w:val="0"/>
                <w:sz w:val="24"/>
                <w:lang w:bidi="as-IN"/>
              </w:rPr>
              <w:t>评标</w:t>
            </w:r>
          </w:p>
          <w:p>
            <w:pPr>
              <w:widowControl/>
              <w:adjustRightInd w:val="0"/>
              <w:snapToGrid w:val="0"/>
              <w:spacing w:line="360" w:lineRule="auto"/>
              <w:jc w:val="center"/>
              <w:rPr>
                <w:rFonts w:ascii="宋体" w:hAnsi="宋体" w:cs="宋体"/>
                <w:color w:val="auto"/>
                <w:kern w:val="0"/>
                <w:sz w:val="24"/>
                <w:lang w:bidi="as-IN"/>
              </w:rPr>
            </w:pPr>
            <w:r>
              <w:rPr>
                <w:rFonts w:hint="eastAsia" w:ascii="宋体" w:hAnsi="宋体" w:cs="宋体"/>
                <w:color w:val="auto"/>
                <w:kern w:val="0"/>
                <w:sz w:val="24"/>
                <w:lang w:bidi="as-IN"/>
              </w:rPr>
              <w:t>分值</w:t>
            </w:r>
          </w:p>
        </w:tc>
        <w:tc>
          <w:tcPr>
            <w:tcW w:w="6662" w:type="dxa"/>
            <w:tcBorders>
              <w:top w:val="single" w:color="666666" w:sz="6" w:space="0"/>
              <w:left w:val="single" w:color="666666" w:sz="6" w:space="0"/>
              <w:bottom w:val="single" w:color="666666" w:sz="6" w:space="0"/>
              <w:right w:val="single" w:color="666666" w:sz="6" w:space="0"/>
            </w:tcBorders>
            <w:noWrap w:val="0"/>
            <w:vAlign w:val="center"/>
          </w:tcPr>
          <w:p>
            <w:pPr>
              <w:widowControl/>
              <w:adjustRightInd w:val="0"/>
              <w:snapToGrid w:val="0"/>
              <w:spacing w:line="360" w:lineRule="auto"/>
              <w:jc w:val="left"/>
              <w:rPr>
                <w:rFonts w:ascii="宋体" w:hAnsi="宋体" w:cs="宋体"/>
                <w:color w:val="auto"/>
                <w:kern w:val="0"/>
                <w:sz w:val="24"/>
                <w:lang w:bidi="as-IN"/>
              </w:rPr>
            </w:pPr>
            <w:r>
              <w:rPr>
                <w:rFonts w:hint="eastAsia" w:ascii="宋体" w:hAnsi="宋体" w:cs="宋体"/>
                <w:color w:val="auto"/>
                <w:kern w:val="0"/>
                <w:sz w:val="24"/>
                <w:lang w:bidi="as-IN"/>
              </w:rPr>
              <w:t>评标方法描述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980" w:hRule="atLeast"/>
        </w:trPr>
        <w:tc>
          <w:tcPr>
            <w:tcW w:w="853" w:type="dxa"/>
            <w:tcBorders>
              <w:top w:val="single" w:color="666666" w:sz="6" w:space="0"/>
              <w:left w:val="single" w:color="666666" w:sz="6" w:space="0"/>
              <w:bottom w:val="single" w:color="666666" w:sz="6" w:space="0"/>
              <w:right w:val="single" w:color="666666" w:sz="6" w:space="0"/>
            </w:tcBorders>
            <w:noWrap w:val="0"/>
            <w:vAlign w:val="center"/>
          </w:tcPr>
          <w:p>
            <w:pPr>
              <w:widowControl/>
              <w:adjustRightInd w:val="0"/>
              <w:snapToGrid w:val="0"/>
              <w:spacing w:line="360" w:lineRule="auto"/>
              <w:jc w:val="center"/>
              <w:rPr>
                <w:rFonts w:hint="eastAsia" w:ascii="宋体" w:hAnsi="宋体" w:eastAsia="宋体" w:cs="宋体"/>
                <w:color w:val="auto"/>
                <w:kern w:val="0"/>
                <w:sz w:val="24"/>
                <w:lang w:eastAsia="zh-CN" w:bidi="as-IN"/>
              </w:rPr>
            </w:pPr>
            <w:r>
              <w:rPr>
                <w:rFonts w:hint="eastAsia" w:ascii="宋体" w:hAnsi="宋体" w:cs="宋体"/>
                <w:color w:val="auto"/>
                <w:kern w:val="0"/>
                <w:sz w:val="24"/>
                <w:lang w:bidi="as-IN"/>
              </w:rPr>
              <w:t>3-</w:t>
            </w:r>
            <w:r>
              <w:rPr>
                <w:rFonts w:hint="eastAsia" w:ascii="宋体" w:hAnsi="宋体" w:cs="宋体"/>
                <w:color w:val="auto"/>
                <w:kern w:val="0"/>
                <w:sz w:val="24"/>
                <w:lang w:val="en-US" w:eastAsia="zh-CN" w:bidi="as-IN"/>
              </w:rPr>
              <w:t>1</w:t>
            </w:r>
          </w:p>
        </w:tc>
        <w:tc>
          <w:tcPr>
            <w:tcW w:w="919" w:type="dxa"/>
            <w:tcBorders>
              <w:top w:val="single" w:color="666666" w:sz="6" w:space="0"/>
              <w:left w:val="single" w:color="666666" w:sz="6" w:space="0"/>
              <w:bottom w:val="single" w:color="666666" w:sz="6" w:space="0"/>
              <w:right w:val="single" w:color="666666" w:sz="6" w:space="0"/>
            </w:tcBorders>
            <w:noWrap w:val="0"/>
            <w:vAlign w:val="center"/>
          </w:tcPr>
          <w:p>
            <w:pPr>
              <w:widowControl/>
              <w:adjustRightInd w:val="0"/>
              <w:snapToGrid w:val="0"/>
              <w:spacing w:line="360" w:lineRule="auto"/>
              <w:jc w:val="center"/>
              <w:rPr>
                <w:rFonts w:hint="eastAsia" w:ascii="宋体" w:hAnsi="宋体" w:cs="宋体"/>
                <w:color w:val="auto"/>
                <w:kern w:val="0"/>
                <w:sz w:val="24"/>
                <w:lang w:bidi="as-IN"/>
              </w:rPr>
            </w:pPr>
            <w:r>
              <w:rPr>
                <w:rFonts w:hint="eastAsia" w:ascii="宋体" w:hAnsi="宋体" w:cs="宋体"/>
                <w:color w:val="auto"/>
                <w:kern w:val="0"/>
                <w:sz w:val="24"/>
                <w:lang w:bidi="as-IN"/>
              </w:rPr>
              <w:t>3</w:t>
            </w:r>
          </w:p>
        </w:tc>
        <w:tc>
          <w:tcPr>
            <w:tcW w:w="6662" w:type="dxa"/>
            <w:tcBorders>
              <w:top w:val="single" w:color="666666" w:sz="6" w:space="0"/>
              <w:left w:val="single" w:color="666666" w:sz="6" w:space="0"/>
              <w:bottom w:val="single" w:color="666666" w:sz="6" w:space="0"/>
              <w:right w:val="single" w:color="666666" w:sz="6" w:space="0"/>
            </w:tcBorders>
            <w:noWrap w:val="0"/>
            <w:vAlign w:val="center"/>
          </w:tcPr>
          <w:p>
            <w:pPr>
              <w:adjustRightInd w:val="0"/>
              <w:snapToGrid w:val="0"/>
              <w:spacing w:line="360" w:lineRule="auto"/>
              <w:rPr>
                <w:rFonts w:hint="eastAsia" w:ascii="宋体" w:hAnsi="宋体" w:cs="宋体"/>
                <w:color w:val="auto"/>
                <w:sz w:val="24"/>
                <w:lang w:bidi="ar"/>
              </w:rPr>
            </w:pPr>
            <w:r>
              <w:rPr>
                <w:rFonts w:hint="eastAsia" w:ascii="宋体" w:hAnsi="宋体" w:cs="宋体"/>
                <w:color w:val="auto"/>
                <w:sz w:val="24"/>
                <w:lang w:bidi="ar"/>
              </w:rPr>
              <w:t>为保障售后服务，根据投标人针对本项目提供的售后服务承诺、维护响应计划方案，包括但不限于具体的售后服务内容、服务响应时间、响应方式等方面，由评委进行评议：方案涉及以上要点、内容与要点相符、每个要点均有展开详细的阐述且切合项目实际情况的得3分；方案涉及以上要点、内容与要点相符、每个要点均有展开详细的阐述且部分内容切合项目实际情况的得2分；方案所包含的要点有缺漏、内容与要点相符但仅有纲要、内容简略，未展开详细阐述但基本能够适用于本项目的得1分；未提供或内容存在明显错误、内容明显不适用于本项目需求的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1968" w:hRule="atLeast"/>
        </w:trPr>
        <w:tc>
          <w:tcPr>
            <w:tcW w:w="853" w:type="dxa"/>
            <w:tcBorders>
              <w:top w:val="single" w:color="666666" w:sz="6" w:space="0"/>
              <w:left w:val="single" w:color="666666" w:sz="6" w:space="0"/>
              <w:bottom w:val="single" w:color="666666" w:sz="6" w:space="0"/>
              <w:right w:val="single" w:color="666666" w:sz="6" w:space="0"/>
            </w:tcBorders>
            <w:noWrap w:val="0"/>
            <w:vAlign w:val="center"/>
          </w:tcPr>
          <w:p>
            <w:pPr>
              <w:widowControl/>
              <w:adjustRightInd w:val="0"/>
              <w:snapToGrid w:val="0"/>
              <w:spacing w:line="360" w:lineRule="auto"/>
              <w:jc w:val="center"/>
              <w:rPr>
                <w:rFonts w:hint="eastAsia" w:ascii="宋体" w:hAnsi="宋体" w:eastAsia="宋体" w:cs="宋体"/>
                <w:color w:val="auto"/>
                <w:kern w:val="0"/>
                <w:sz w:val="24"/>
                <w:lang w:eastAsia="zh-CN" w:bidi="as-IN"/>
              </w:rPr>
            </w:pPr>
            <w:r>
              <w:rPr>
                <w:rFonts w:hint="eastAsia" w:ascii="宋体" w:hAnsi="宋体" w:cs="宋体"/>
                <w:color w:val="auto"/>
                <w:kern w:val="0"/>
                <w:sz w:val="24"/>
                <w:lang w:bidi="as-IN"/>
              </w:rPr>
              <w:t>3-</w:t>
            </w:r>
            <w:r>
              <w:rPr>
                <w:rFonts w:hint="eastAsia" w:ascii="宋体" w:hAnsi="宋体" w:cs="宋体"/>
                <w:color w:val="auto"/>
                <w:kern w:val="0"/>
                <w:sz w:val="24"/>
                <w:lang w:val="en-US" w:eastAsia="zh-CN" w:bidi="as-IN"/>
              </w:rPr>
              <w:t>2</w:t>
            </w:r>
          </w:p>
        </w:tc>
        <w:tc>
          <w:tcPr>
            <w:tcW w:w="919" w:type="dxa"/>
            <w:tcBorders>
              <w:top w:val="single" w:color="666666" w:sz="6" w:space="0"/>
              <w:left w:val="single" w:color="666666" w:sz="6" w:space="0"/>
              <w:bottom w:val="single" w:color="666666" w:sz="6" w:space="0"/>
              <w:right w:val="single" w:color="666666" w:sz="6" w:space="0"/>
            </w:tcBorders>
            <w:noWrap w:val="0"/>
            <w:vAlign w:val="center"/>
          </w:tcPr>
          <w:p>
            <w:pPr>
              <w:widowControl/>
              <w:adjustRightInd w:val="0"/>
              <w:snapToGrid w:val="0"/>
              <w:spacing w:line="360" w:lineRule="auto"/>
              <w:jc w:val="center"/>
              <w:rPr>
                <w:rFonts w:ascii="宋体" w:hAnsi="宋体" w:cs="宋体"/>
                <w:color w:val="auto"/>
                <w:kern w:val="0"/>
                <w:sz w:val="24"/>
                <w:lang w:bidi="as-IN"/>
              </w:rPr>
            </w:pPr>
            <w:r>
              <w:rPr>
                <w:rFonts w:hint="eastAsia" w:ascii="宋体" w:hAnsi="宋体" w:cs="宋体"/>
                <w:color w:val="auto"/>
                <w:kern w:val="0"/>
                <w:sz w:val="24"/>
                <w:lang w:bidi="as-IN"/>
              </w:rPr>
              <w:t>1</w:t>
            </w:r>
          </w:p>
        </w:tc>
        <w:tc>
          <w:tcPr>
            <w:tcW w:w="6662" w:type="dxa"/>
            <w:tcBorders>
              <w:top w:val="single" w:color="666666" w:sz="6" w:space="0"/>
              <w:left w:val="single" w:color="666666" w:sz="6" w:space="0"/>
              <w:bottom w:val="single" w:color="666666" w:sz="6" w:space="0"/>
              <w:right w:val="single" w:color="666666" w:sz="6" w:space="0"/>
            </w:tcBorders>
            <w:noWrap w:val="0"/>
            <w:vAlign w:val="center"/>
          </w:tcPr>
          <w:p>
            <w:pPr>
              <w:adjustRightInd w:val="0"/>
              <w:snapToGrid w:val="0"/>
              <w:spacing w:line="360" w:lineRule="auto"/>
              <w:rPr>
                <w:rFonts w:hint="eastAsia" w:ascii="宋体" w:hAnsi="宋体" w:cs="宋体"/>
                <w:color w:val="auto"/>
                <w:sz w:val="24"/>
                <w:lang w:bidi="ar"/>
              </w:rPr>
            </w:pPr>
            <w:r>
              <w:rPr>
                <w:rFonts w:hint="eastAsia" w:ascii="宋体" w:hAnsi="宋体" w:cs="宋体"/>
                <w:color w:val="auto"/>
                <w:sz w:val="24"/>
                <w:lang w:bidi="ar"/>
              </w:rPr>
              <w:t>投标人具有热水项目相关的软件著作权、知识产权、服务等认证证书的，每提供一个证书得0.25分，满分1分。须提供证书复印件并加盖投标人公章。其他评分项中提供的不重复计算得分。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c>
          <w:tcPr>
            <w:tcW w:w="853" w:type="dxa"/>
            <w:tcBorders>
              <w:top w:val="single" w:color="666666" w:sz="6" w:space="0"/>
              <w:left w:val="single" w:color="666666" w:sz="6" w:space="0"/>
              <w:bottom w:val="single" w:color="666666" w:sz="6" w:space="0"/>
              <w:right w:val="single" w:color="666666" w:sz="6" w:space="0"/>
            </w:tcBorders>
            <w:noWrap w:val="0"/>
            <w:vAlign w:val="center"/>
          </w:tcPr>
          <w:p>
            <w:pPr>
              <w:widowControl/>
              <w:adjustRightInd w:val="0"/>
              <w:snapToGrid w:val="0"/>
              <w:spacing w:line="360" w:lineRule="auto"/>
              <w:jc w:val="center"/>
              <w:rPr>
                <w:rFonts w:hint="eastAsia" w:ascii="宋体" w:hAnsi="宋体" w:eastAsia="宋体" w:cs="宋体"/>
                <w:color w:val="auto"/>
                <w:kern w:val="0"/>
                <w:sz w:val="24"/>
                <w:lang w:eastAsia="zh-CN" w:bidi="as-IN"/>
              </w:rPr>
            </w:pPr>
            <w:r>
              <w:rPr>
                <w:rFonts w:hint="eastAsia" w:ascii="宋体" w:hAnsi="宋体" w:cs="宋体"/>
                <w:color w:val="auto"/>
                <w:kern w:val="0"/>
                <w:sz w:val="24"/>
                <w:lang w:bidi="as-IN"/>
              </w:rPr>
              <w:t>3-</w:t>
            </w:r>
            <w:r>
              <w:rPr>
                <w:rFonts w:hint="eastAsia" w:ascii="宋体" w:hAnsi="宋体" w:cs="宋体"/>
                <w:color w:val="auto"/>
                <w:kern w:val="0"/>
                <w:sz w:val="24"/>
                <w:lang w:val="en-US" w:eastAsia="zh-CN" w:bidi="as-IN"/>
              </w:rPr>
              <w:t>3</w:t>
            </w:r>
          </w:p>
        </w:tc>
        <w:tc>
          <w:tcPr>
            <w:tcW w:w="919" w:type="dxa"/>
            <w:tcBorders>
              <w:top w:val="single" w:color="666666" w:sz="6" w:space="0"/>
              <w:left w:val="single" w:color="666666" w:sz="6" w:space="0"/>
              <w:bottom w:val="single" w:color="666666" w:sz="6" w:space="0"/>
              <w:right w:val="single" w:color="666666" w:sz="6" w:space="0"/>
            </w:tcBorders>
            <w:noWrap w:val="0"/>
            <w:vAlign w:val="center"/>
          </w:tcPr>
          <w:p>
            <w:pPr>
              <w:widowControl/>
              <w:adjustRightInd w:val="0"/>
              <w:snapToGrid w:val="0"/>
              <w:spacing w:line="360" w:lineRule="auto"/>
              <w:jc w:val="center"/>
              <w:rPr>
                <w:rFonts w:hint="eastAsia" w:ascii="宋体" w:hAnsi="宋体" w:cs="宋体"/>
                <w:color w:val="auto"/>
                <w:kern w:val="0"/>
                <w:sz w:val="24"/>
                <w:lang w:bidi="as-IN"/>
              </w:rPr>
            </w:pPr>
            <w:r>
              <w:rPr>
                <w:rFonts w:hint="eastAsia" w:ascii="宋体" w:hAnsi="宋体" w:cs="宋体"/>
                <w:color w:val="auto"/>
                <w:kern w:val="0"/>
                <w:sz w:val="24"/>
                <w:lang w:bidi="as-IN"/>
              </w:rPr>
              <w:t>1</w:t>
            </w:r>
          </w:p>
        </w:tc>
        <w:tc>
          <w:tcPr>
            <w:tcW w:w="6662" w:type="dxa"/>
            <w:tcBorders>
              <w:top w:val="single" w:color="666666" w:sz="6" w:space="0"/>
              <w:left w:val="single" w:color="666666" w:sz="6" w:space="0"/>
              <w:bottom w:val="single" w:color="666666" w:sz="6" w:space="0"/>
              <w:right w:val="single" w:color="666666" w:sz="6" w:space="0"/>
            </w:tcBorders>
            <w:noWrap w:val="0"/>
            <w:vAlign w:val="center"/>
          </w:tcPr>
          <w:p>
            <w:pPr>
              <w:adjustRightInd w:val="0"/>
              <w:snapToGrid w:val="0"/>
              <w:spacing w:line="360" w:lineRule="auto"/>
              <w:rPr>
                <w:rFonts w:hint="eastAsia" w:ascii="宋体" w:hAnsi="宋体" w:cs="宋体"/>
                <w:color w:val="auto"/>
                <w:sz w:val="24"/>
                <w:lang w:bidi="ar"/>
              </w:rPr>
            </w:pPr>
            <w:r>
              <w:rPr>
                <w:rFonts w:hint="eastAsia" w:ascii="宋体" w:hAnsi="宋体" w:cs="宋体"/>
                <w:color w:val="auto"/>
                <w:sz w:val="24"/>
                <w:lang w:bidi="ar"/>
              </w:rPr>
              <w:t>为减少招标人的运行风险，根据投标人承诺的临时调配应急人员到达现场时间，由评委进行评分：承诺在一小时内（含一小时）调配应急人员的得1分；未提供承诺或不满足要求不得分。</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1025" w:hRule="atLeast"/>
        </w:trPr>
        <w:tc>
          <w:tcPr>
            <w:tcW w:w="853" w:type="dxa"/>
            <w:tcBorders>
              <w:top w:val="single" w:color="666666" w:sz="6" w:space="0"/>
              <w:left w:val="single" w:color="666666" w:sz="6" w:space="0"/>
              <w:bottom w:val="single" w:color="666666" w:sz="6" w:space="0"/>
              <w:right w:val="single" w:color="666666" w:sz="6" w:space="0"/>
            </w:tcBorders>
            <w:noWrap w:val="0"/>
            <w:vAlign w:val="center"/>
          </w:tcPr>
          <w:p>
            <w:pPr>
              <w:widowControl/>
              <w:adjustRightInd w:val="0"/>
              <w:snapToGrid w:val="0"/>
              <w:spacing w:line="360" w:lineRule="auto"/>
              <w:jc w:val="center"/>
              <w:rPr>
                <w:rFonts w:hint="eastAsia" w:ascii="宋体" w:hAnsi="宋体" w:eastAsia="宋体" w:cs="宋体"/>
                <w:color w:val="auto"/>
                <w:kern w:val="0"/>
                <w:sz w:val="24"/>
                <w:lang w:eastAsia="zh-CN" w:bidi="as-IN"/>
              </w:rPr>
            </w:pPr>
            <w:r>
              <w:rPr>
                <w:rFonts w:hint="eastAsia" w:ascii="宋体" w:hAnsi="宋体" w:cs="宋体"/>
                <w:color w:val="auto"/>
                <w:kern w:val="0"/>
                <w:sz w:val="24"/>
                <w:lang w:bidi="as-IN"/>
              </w:rPr>
              <w:t>3-</w:t>
            </w:r>
            <w:r>
              <w:rPr>
                <w:rFonts w:hint="eastAsia" w:ascii="宋体" w:hAnsi="宋体" w:cs="宋体"/>
                <w:color w:val="auto"/>
                <w:kern w:val="0"/>
                <w:sz w:val="24"/>
                <w:lang w:val="en-US" w:eastAsia="zh-CN" w:bidi="as-IN"/>
              </w:rPr>
              <w:t>4</w:t>
            </w:r>
          </w:p>
        </w:tc>
        <w:tc>
          <w:tcPr>
            <w:tcW w:w="919" w:type="dxa"/>
            <w:tcBorders>
              <w:top w:val="single" w:color="666666" w:sz="6" w:space="0"/>
              <w:left w:val="single" w:color="666666" w:sz="6" w:space="0"/>
              <w:bottom w:val="single" w:color="666666" w:sz="6" w:space="0"/>
              <w:right w:val="single" w:color="666666" w:sz="6" w:space="0"/>
            </w:tcBorders>
            <w:noWrap w:val="0"/>
            <w:vAlign w:val="center"/>
          </w:tcPr>
          <w:p>
            <w:pPr>
              <w:widowControl/>
              <w:adjustRightInd w:val="0"/>
              <w:snapToGrid w:val="0"/>
              <w:spacing w:line="360" w:lineRule="auto"/>
              <w:jc w:val="center"/>
              <w:rPr>
                <w:rFonts w:ascii="宋体" w:hAnsi="宋体" w:cs="宋体"/>
                <w:color w:val="auto"/>
                <w:kern w:val="0"/>
                <w:sz w:val="24"/>
                <w:lang w:bidi="as-IN"/>
              </w:rPr>
            </w:pPr>
            <w:r>
              <w:rPr>
                <w:rFonts w:hint="eastAsia" w:ascii="宋体" w:hAnsi="宋体" w:cs="宋体"/>
                <w:color w:val="auto"/>
                <w:kern w:val="0"/>
                <w:sz w:val="24"/>
                <w:lang w:bidi="as-IN"/>
              </w:rPr>
              <w:t>3</w:t>
            </w:r>
          </w:p>
        </w:tc>
        <w:tc>
          <w:tcPr>
            <w:tcW w:w="6662" w:type="dxa"/>
            <w:tcBorders>
              <w:top w:val="single" w:color="666666" w:sz="6" w:space="0"/>
              <w:left w:val="single" w:color="666666" w:sz="6" w:space="0"/>
              <w:bottom w:val="single" w:color="666666" w:sz="6" w:space="0"/>
              <w:right w:val="single" w:color="666666" w:sz="6" w:space="0"/>
            </w:tcBorders>
            <w:noWrap w:val="0"/>
            <w:vAlign w:val="center"/>
          </w:tcPr>
          <w:p>
            <w:pPr>
              <w:adjustRightInd w:val="0"/>
              <w:snapToGrid w:val="0"/>
              <w:spacing w:line="360" w:lineRule="auto"/>
              <w:rPr>
                <w:rFonts w:hint="eastAsia" w:ascii="宋体" w:hAnsi="宋体" w:cs="宋体"/>
                <w:color w:val="auto"/>
                <w:sz w:val="24"/>
                <w:lang w:bidi="ar"/>
              </w:rPr>
            </w:pPr>
            <w:r>
              <w:rPr>
                <w:rFonts w:hint="eastAsia" w:ascii="宋体" w:hAnsi="宋体" w:cs="宋体"/>
                <w:color w:val="auto"/>
                <w:sz w:val="24"/>
                <w:lang w:bidi="ar"/>
              </w:rPr>
              <w:t>以投标人递交投标文件为截止时间，自2019年1月1日（以合同签订时间为准）以来提供独立投资建设、在有效运营期内成功运营管理的集中供热水项目，由评委进行评分：每提供1个有效业绩得1分，满分3分。需提供有效证明文件包括：① 该业绩的中标（成交）公告（须提供相关网站中标（成交）公告的下载网页及其网址）；②中标（成交）通知书复印件； ③采购合同文本复印件；④能够证明该业绩项目巳经招标人验收合格的相关证明文件复印件；以上①-④缺一不可。如未按照招标文件要求提供该项业绩完整资料的，评标委员会对该项业绩将不予采信。</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472" w:hRule="atLeast"/>
        </w:trPr>
        <w:tc>
          <w:tcPr>
            <w:tcW w:w="853" w:type="dxa"/>
            <w:tcBorders>
              <w:top w:val="single" w:color="666666" w:sz="6" w:space="0"/>
              <w:left w:val="single" w:color="666666" w:sz="6" w:space="0"/>
              <w:bottom w:val="single" w:color="666666" w:sz="6" w:space="0"/>
              <w:right w:val="single" w:color="666666" w:sz="6" w:space="0"/>
            </w:tcBorders>
            <w:noWrap w:val="0"/>
            <w:vAlign w:val="center"/>
          </w:tcPr>
          <w:p>
            <w:pPr>
              <w:widowControl/>
              <w:adjustRightInd w:val="0"/>
              <w:snapToGrid w:val="0"/>
              <w:spacing w:line="360" w:lineRule="auto"/>
              <w:jc w:val="center"/>
              <w:rPr>
                <w:rFonts w:hint="eastAsia" w:ascii="宋体" w:hAnsi="宋体" w:eastAsia="宋体" w:cs="宋体"/>
                <w:color w:val="auto"/>
                <w:kern w:val="0"/>
                <w:sz w:val="24"/>
                <w:lang w:eastAsia="zh-CN" w:bidi="as-IN"/>
              </w:rPr>
            </w:pPr>
            <w:r>
              <w:rPr>
                <w:rFonts w:hint="eastAsia" w:ascii="宋体" w:hAnsi="宋体" w:cs="宋体"/>
                <w:color w:val="auto"/>
                <w:kern w:val="0"/>
                <w:sz w:val="24"/>
                <w:lang w:bidi="as-IN"/>
              </w:rPr>
              <w:t>3-</w:t>
            </w:r>
            <w:r>
              <w:rPr>
                <w:rFonts w:hint="eastAsia" w:ascii="宋体" w:hAnsi="宋体" w:cs="宋体"/>
                <w:color w:val="auto"/>
                <w:kern w:val="0"/>
                <w:sz w:val="24"/>
                <w:lang w:val="en-US" w:eastAsia="zh-CN" w:bidi="as-IN"/>
              </w:rPr>
              <w:t>5</w:t>
            </w:r>
          </w:p>
        </w:tc>
        <w:tc>
          <w:tcPr>
            <w:tcW w:w="919" w:type="dxa"/>
            <w:tcBorders>
              <w:top w:val="single" w:color="666666" w:sz="6" w:space="0"/>
              <w:left w:val="single" w:color="666666" w:sz="6" w:space="0"/>
              <w:bottom w:val="single" w:color="666666" w:sz="6" w:space="0"/>
              <w:right w:val="single" w:color="666666" w:sz="6" w:space="0"/>
            </w:tcBorders>
            <w:noWrap w:val="0"/>
            <w:vAlign w:val="center"/>
          </w:tcPr>
          <w:p>
            <w:pPr>
              <w:widowControl/>
              <w:adjustRightInd w:val="0"/>
              <w:snapToGrid w:val="0"/>
              <w:spacing w:line="360" w:lineRule="auto"/>
              <w:jc w:val="center"/>
              <w:rPr>
                <w:rFonts w:ascii="宋体" w:hAnsi="宋体" w:cs="宋体"/>
                <w:color w:val="auto"/>
                <w:kern w:val="0"/>
                <w:sz w:val="24"/>
                <w:lang w:bidi="as-IN"/>
              </w:rPr>
            </w:pPr>
            <w:r>
              <w:rPr>
                <w:rFonts w:hint="eastAsia" w:ascii="宋体" w:hAnsi="宋体" w:cs="宋体"/>
                <w:color w:val="auto"/>
                <w:kern w:val="0"/>
                <w:sz w:val="24"/>
                <w:lang w:bidi="as-IN"/>
              </w:rPr>
              <w:t>3</w:t>
            </w:r>
          </w:p>
        </w:tc>
        <w:tc>
          <w:tcPr>
            <w:tcW w:w="6662" w:type="dxa"/>
            <w:tcBorders>
              <w:top w:val="single" w:color="666666" w:sz="6" w:space="0"/>
              <w:left w:val="single" w:color="666666" w:sz="6" w:space="0"/>
              <w:bottom w:val="single" w:color="666666" w:sz="6" w:space="0"/>
              <w:right w:val="single" w:color="666666" w:sz="6" w:space="0"/>
            </w:tcBorders>
            <w:noWrap w:val="0"/>
            <w:vAlign w:val="center"/>
          </w:tcPr>
          <w:p>
            <w:pPr>
              <w:adjustRightInd w:val="0"/>
              <w:snapToGrid w:val="0"/>
              <w:spacing w:line="360" w:lineRule="auto"/>
              <w:rPr>
                <w:rFonts w:hint="eastAsia" w:ascii="宋体" w:hAnsi="宋体" w:cs="宋体"/>
                <w:color w:val="auto"/>
                <w:sz w:val="24"/>
                <w:lang w:bidi="ar"/>
              </w:rPr>
            </w:pPr>
            <w:r>
              <w:rPr>
                <w:rFonts w:hint="eastAsia" w:ascii="宋体" w:hAnsi="宋体" w:cs="宋体"/>
                <w:color w:val="auto"/>
                <w:sz w:val="24"/>
                <w:lang w:bidi="ar"/>
              </w:rPr>
              <w:t>以投标人递交投标文件为截止时间，自2019年1月1日（以合同签订时间为准）以来所承接的集中供热水项目在服务期内获得业主的服务评价情况，由评委进行评分：每提供一个业主出具的优等或满意等非差评的运营服务评价书的得1分，满分3分。 投标人须提供相关项目①中标（成交）通知书复印件、②采购合同复印件、③证明该项目已经招标人验收合格的证明文件复印件、④采购单位盖章的服务评价的证明材料复印件（未提供不得分）、⑤同一业绩不重复计分。【该项涉及项目与3-</w:t>
            </w:r>
            <w:r>
              <w:rPr>
                <w:rFonts w:hint="eastAsia" w:ascii="宋体" w:hAnsi="宋体" w:cs="宋体"/>
                <w:color w:val="auto"/>
                <w:sz w:val="24"/>
                <w:lang w:val="en-US" w:eastAsia="zh-CN" w:bidi="ar"/>
              </w:rPr>
              <w:t>4</w:t>
            </w:r>
            <w:r>
              <w:rPr>
                <w:rFonts w:hint="eastAsia" w:ascii="宋体" w:hAnsi="宋体" w:cs="宋体"/>
                <w:color w:val="auto"/>
                <w:sz w:val="24"/>
                <w:lang w:bidi="ar"/>
              </w:rPr>
              <w:t>不重复，否则不得分】</w:t>
            </w:r>
            <w:bookmarkStart w:id="0" w:name="_GoBack"/>
            <w:bookmarkEnd w:id="0"/>
          </w:p>
        </w:tc>
      </w:tr>
    </w:tbl>
    <w:p>
      <w:pPr>
        <w:spacing w:line="360" w:lineRule="auto"/>
        <w:rPr>
          <w:rFonts w:hint="eastAsia" w:ascii="宋体" w:hAnsi="宋体"/>
          <w:b/>
          <w:bCs/>
          <w:color w:val="auto"/>
          <w:sz w:val="24"/>
        </w:rPr>
      </w:pPr>
      <w:r>
        <w:rPr>
          <w:rFonts w:hint="eastAsia" w:ascii="宋体" w:hAnsi="宋体"/>
          <w:b/>
          <w:bCs/>
          <w:color w:val="auto"/>
          <w:sz w:val="24"/>
        </w:rPr>
        <w:t>Ⅲ 价格部分评分（PF）   满分</w:t>
      </w:r>
      <w:r>
        <w:rPr>
          <w:rFonts w:hint="eastAsia" w:ascii="宋体" w:hAnsi="宋体"/>
          <w:b/>
          <w:bCs/>
          <w:color w:val="auto"/>
          <w:sz w:val="24"/>
          <w:u w:val="single"/>
        </w:rPr>
        <w:t xml:space="preserve"> 10 </w:t>
      </w:r>
      <w:r>
        <w:rPr>
          <w:rFonts w:hint="eastAsia" w:ascii="宋体" w:hAnsi="宋体"/>
          <w:b/>
          <w:bCs/>
          <w:color w:val="auto"/>
          <w:sz w:val="24"/>
        </w:rPr>
        <w:t xml:space="preserve">分 </w:t>
      </w:r>
    </w:p>
    <w:p>
      <w:pPr>
        <w:spacing w:line="360" w:lineRule="auto"/>
        <w:rPr>
          <w:rFonts w:hint="eastAsia" w:ascii="宋体" w:hAnsi="宋体"/>
          <w:b/>
          <w:color w:val="auto"/>
          <w:sz w:val="24"/>
        </w:rPr>
      </w:pPr>
      <w:r>
        <w:rPr>
          <w:rFonts w:hint="eastAsia" w:ascii="宋体" w:hAnsi="宋体"/>
          <w:b/>
          <w:color w:val="auto"/>
          <w:sz w:val="24"/>
        </w:rPr>
        <w:t>1、价格修正及价格扣除评审优惠内容：（如有）</w:t>
      </w:r>
    </w:p>
    <w:p>
      <w:pPr>
        <w:spacing w:line="360" w:lineRule="auto"/>
        <w:ind w:firstLine="480" w:firstLineChars="200"/>
        <w:rPr>
          <w:rFonts w:hint="eastAsia" w:ascii="宋体" w:hAnsi="宋体"/>
          <w:color w:val="auto"/>
          <w:sz w:val="24"/>
        </w:rPr>
      </w:pPr>
      <w:r>
        <w:rPr>
          <w:rFonts w:hint="eastAsia" w:ascii="宋体" w:hAnsi="宋体"/>
          <w:color w:val="auto"/>
          <w:sz w:val="24"/>
        </w:rPr>
        <w:t>（1）投标报价按照《第二章 投标人须知》第17.2条款进行算术性错误修正。（如有）</w:t>
      </w:r>
    </w:p>
    <w:p>
      <w:pPr>
        <w:pStyle w:val="2"/>
        <w:snapToGrid w:val="0"/>
        <w:spacing w:line="360" w:lineRule="auto"/>
        <w:ind w:firstLine="448"/>
        <w:rPr>
          <w:rFonts w:hint="eastAsia" w:ascii="宋体" w:hAnsi="宋体"/>
          <w:color w:val="auto"/>
          <w:sz w:val="24"/>
          <w:szCs w:val="24"/>
        </w:rPr>
      </w:pPr>
      <w:r>
        <w:rPr>
          <w:rFonts w:hint="eastAsia" w:ascii="宋体" w:hAnsi="宋体"/>
          <w:color w:val="auto"/>
          <w:sz w:val="24"/>
        </w:rPr>
        <w:t>（2）</w:t>
      </w:r>
      <w:r>
        <w:rPr>
          <w:rFonts w:hint="eastAsia" w:ascii="宋体" w:hAnsi="宋体"/>
          <w:color w:val="auto"/>
          <w:sz w:val="24"/>
          <w:szCs w:val="24"/>
        </w:rPr>
        <w:t>根据关于印发《政府采购促进中小企业发展管理办法的通知》（财库〔2020〕46号）文件、</w:t>
      </w:r>
      <w:r>
        <w:rPr>
          <w:rFonts w:ascii="宋体" w:hAnsi="宋体"/>
          <w:color w:val="auto"/>
          <w:sz w:val="24"/>
          <w:szCs w:val="24"/>
        </w:rPr>
        <w:t>关于印发</w:t>
      </w:r>
      <w:r>
        <w:rPr>
          <w:rFonts w:hint="eastAsia" w:ascii="宋体" w:hAnsi="宋体"/>
          <w:color w:val="auto"/>
          <w:sz w:val="24"/>
          <w:szCs w:val="24"/>
        </w:rPr>
        <w:t>《</w:t>
      </w:r>
      <w:r>
        <w:rPr>
          <w:rFonts w:ascii="宋体" w:hAnsi="宋体"/>
          <w:color w:val="auto"/>
          <w:sz w:val="24"/>
          <w:szCs w:val="24"/>
        </w:rPr>
        <w:t>中小企业划型标准规定的通知</w:t>
      </w:r>
      <w:r>
        <w:rPr>
          <w:rFonts w:hint="eastAsia" w:ascii="宋体" w:hAnsi="宋体"/>
          <w:color w:val="auto"/>
          <w:sz w:val="24"/>
          <w:szCs w:val="24"/>
        </w:rPr>
        <w:t>》</w:t>
      </w:r>
      <w:r>
        <w:rPr>
          <w:rFonts w:ascii="宋体" w:hAnsi="宋体"/>
          <w:color w:val="auto"/>
          <w:sz w:val="24"/>
          <w:szCs w:val="24"/>
        </w:rPr>
        <w:t>(工信部联企业〔2011〕300号)</w:t>
      </w:r>
      <w:r>
        <w:rPr>
          <w:rFonts w:hint="eastAsia" w:ascii="宋体" w:hAnsi="宋体"/>
          <w:color w:val="auto"/>
          <w:sz w:val="24"/>
          <w:szCs w:val="24"/>
        </w:rPr>
        <w:t>文件及《关于进一步加大政府采购支持中小企业力度的通知》（财库〔2022〕19号）规定，</w:t>
      </w:r>
      <w:r>
        <w:rPr>
          <w:rFonts w:hint="eastAsia" w:ascii="宋体" w:hAnsi="宋体"/>
          <w:b/>
          <w:color w:val="auto"/>
          <w:sz w:val="24"/>
          <w:szCs w:val="24"/>
        </w:rPr>
        <w:t>本办法所称中小企业，是指在中华人民共和国境内依法设立，依据国务院批准的中小企业划分标准确定的中型企业、小型企业和微型企业，但与大企业的负责人为同一人，或者与大企业存在直接控股、管理关系的除外</w:t>
      </w:r>
      <w:r>
        <w:rPr>
          <w:rFonts w:hint="eastAsia" w:ascii="宋体" w:hAnsi="宋体"/>
          <w:color w:val="auto"/>
          <w:sz w:val="24"/>
          <w:szCs w:val="24"/>
        </w:rPr>
        <w:t>。在</w:t>
      </w:r>
      <w:r>
        <w:rPr>
          <w:rFonts w:hint="eastAsia" w:ascii="宋体" w:hAnsi="宋体"/>
          <w:color w:val="auto"/>
          <w:sz w:val="24"/>
          <w:szCs w:val="24"/>
          <w:lang w:val="en-US" w:eastAsia="zh-CN"/>
        </w:rPr>
        <w:t>招标</w:t>
      </w:r>
      <w:r>
        <w:rPr>
          <w:rFonts w:hint="eastAsia" w:ascii="宋体" w:hAnsi="宋体"/>
          <w:color w:val="auto"/>
          <w:sz w:val="24"/>
          <w:szCs w:val="24"/>
        </w:rPr>
        <w:t>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w:t>
      </w:r>
      <w:r>
        <w:rPr>
          <w:rFonts w:hint="eastAsia" w:ascii="宋体" w:hAnsi="宋体"/>
          <w:b/>
          <w:color w:val="auto"/>
          <w:sz w:val="24"/>
          <w:szCs w:val="24"/>
          <w:u w:val="single"/>
        </w:rPr>
        <w:t>参加</w:t>
      </w:r>
      <w:r>
        <w:rPr>
          <w:rFonts w:hint="eastAsia" w:ascii="宋体" w:hAnsi="宋体"/>
          <w:b/>
          <w:color w:val="auto"/>
          <w:sz w:val="24"/>
          <w:szCs w:val="24"/>
          <w:u w:val="single"/>
          <w:lang w:val="en-US" w:eastAsia="zh-CN"/>
        </w:rPr>
        <w:t>招标</w:t>
      </w:r>
      <w:r>
        <w:rPr>
          <w:rFonts w:hint="eastAsia" w:ascii="宋体" w:hAnsi="宋体"/>
          <w:b/>
          <w:color w:val="auto"/>
          <w:sz w:val="24"/>
          <w:szCs w:val="24"/>
          <w:u w:val="single"/>
        </w:rPr>
        <w:t>活动的小型、微型企业应当按要求提供符合小型、微型企业的《中小企业声明函》，无须提供其他相关证明材料。</w:t>
      </w:r>
      <w:r>
        <w:rPr>
          <w:rFonts w:hint="eastAsia" w:ascii="宋体" w:hAnsi="宋体"/>
          <w:color w:val="auto"/>
          <w:sz w:val="24"/>
          <w:szCs w:val="24"/>
          <w:u w:val="single"/>
        </w:rPr>
        <w:t xml:space="preserve"> </w:t>
      </w:r>
    </w:p>
    <w:p>
      <w:pPr>
        <w:tabs>
          <w:tab w:val="left" w:pos="1905"/>
        </w:tabs>
        <w:spacing w:line="360" w:lineRule="auto"/>
        <w:ind w:firstLine="480" w:firstLineChars="200"/>
        <w:rPr>
          <w:rFonts w:hint="eastAsia" w:ascii="宋体" w:hAnsi="宋体"/>
          <w:b/>
          <w:color w:val="auto"/>
          <w:sz w:val="24"/>
        </w:rPr>
      </w:pPr>
      <w:r>
        <w:rPr>
          <w:rFonts w:hint="eastAsia" w:ascii="宋体" w:hAnsi="宋体"/>
          <w:color w:val="auto"/>
          <w:sz w:val="24"/>
        </w:rPr>
        <w:t>（3）根据财政部、民政部、中国残疾人联合会联合发布的《关于促进残疾人就业政府采购政策的通知》（财库[2017]141号）文件以及</w:t>
      </w:r>
      <w:r>
        <w:rPr>
          <w:rFonts w:ascii="宋体" w:hAnsi="宋体"/>
          <w:color w:val="auto"/>
          <w:sz w:val="24"/>
        </w:rPr>
        <w:t>福建省财政厅</w:t>
      </w:r>
      <w:r>
        <w:rPr>
          <w:rFonts w:hint="eastAsia" w:ascii="宋体" w:hAnsi="宋体"/>
          <w:color w:val="auto"/>
          <w:sz w:val="24"/>
        </w:rPr>
        <w:t>、</w:t>
      </w:r>
      <w:r>
        <w:rPr>
          <w:rFonts w:ascii="宋体" w:hAnsi="宋体"/>
          <w:color w:val="auto"/>
          <w:sz w:val="24"/>
        </w:rPr>
        <w:t>福建省民政厅</w:t>
      </w:r>
      <w:r>
        <w:rPr>
          <w:rFonts w:hint="eastAsia" w:ascii="宋体" w:hAnsi="宋体"/>
          <w:color w:val="auto"/>
          <w:sz w:val="24"/>
        </w:rPr>
        <w:t>、福建省残疾人联合会发布的《关于进一步落实政府采购支持残疾人就业政策的通知》文件规定，符合规定的残疾人福利性单位参加</w:t>
      </w:r>
      <w:r>
        <w:rPr>
          <w:rFonts w:hint="eastAsia" w:ascii="宋体" w:hAnsi="宋体"/>
          <w:color w:val="auto"/>
          <w:sz w:val="24"/>
          <w:lang w:val="en-US" w:eastAsia="zh-CN"/>
        </w:rPr>
        <w:t>招标</w:t>
      </w:r>
      <w:r>
        <w:rPr>
          <w:rFonts w:hint="eastAsia" w:ascii="宋体" w:hAnsi="宋体"/>
          <w:color w:val="auto"/>
          <w:sz w:val="24"/>
        </w:rPr>
        <w:t>活动</w:t>
      </w:r>
      <w:r>
        <w:rPr>
          <w:rFonts w:hint="eastAsia" w:ascii="宋体" w:hAnsi="宋体"/>
          <w:b/>
          <w:color w:val="auto"/>
          <w:sz w:val="24"/>
        </w:rPr>
        <w:t>视同小型、微型企业</w:t>
      </w:r>
      <w:r>
        <w:rPr>
          <w:rFonts w:hint="eastAsia" w:ascii="宋体" w:hAnsi="宋体"/>
          <w:color w:val="auto"/>
          <w:sz w:val="24"/>
        </w:rPr>
        <w:t>，</w:t>
      </w:r>
      <w:r>
        <w:rPr>
          <w:rFonts w:hint="eastAsia" w:ascii="宋体" w:hAnsi="宋体"/>
          <w:b/>
          <w:color w:val="auto"/>
          <w:sz w:val="24"/>
          <w:u w:val="single"/>
        </w:rPr>
        <w:t>提供《残疾人福利性单位声明函》</w:t>
      </w:r>
      <w:r>
        <w:rPr>
          <w:rFonts w:hint="eastAsia" w:ascii="宋体" w:hAnsi="宋体"/>
          <w:color w:val="auto"/>
          <w:sz w:val="24"/>
        </w:rPr>
        <w:t>并对声明的真实性负责，其报价享受</w:t>
      </w:r>
      <w:r>
        <w:rPr>
          <w:rFonts w:hint="eastAsia" w:ascii="宋体" w:hAnsi="宋体"/>
          <w:b/>
          <w:color w:val="auto"/>
          <w:sz w:val="24"/>
          <w:u w:val="single"/>
        </w:rPr>
        <w:t>15%</w:t>
      </w:r>
      <w:r>
        <w:rPr>
          <w:rFonts w:hint="eastAsia" w:ascii="宋体" w:hAnsi="宋体"/>
          <w:color w:val="auto"/>
          <w:sz w:val="24"/>
        </w:rPr>
        <w:t>的评审价格扣除优惠。</w:t>
      </w:r>
      <w:r>
        <w:rPr>
          <w:rFonts w:hint="eastAsia" w:ascii="宋体" w:hAnsi="宋体"/>
          <w:b/>
          <w:color w:val="auto"/>
          <w:sz w:val="24"/>
        </w:rPr>
        <w:t>但残疾人福利性单位属于小型、微型企业的，不重复享受该评审优惠。</w:t>
      </w:r>
      <w:r>
        <w:rPr>
          <w:rStyle w:val="9"/>
          <w:rFonts w:hint="eastAsia" w:ascii="宋体" w:hAnsi="宋体" w:cs="宋体"/>
          <w:color w:val="auto"/>
          <w:kern w:val="0"/>
          <w:sz w:val="24"/>
        </w:rPr>
        <w:t>残疾人福利性单位享受价格扣除的货物是指只由本单位制造的货物，或者只由其他残疾人福利性单位制造的货物（不包括使用非残疾人福利性单位注册商标的货物）。</w:t>
      </w:r>
      <w:r>
        <w:rPr>
          <w:rStyle w:val="9"/>
          <w:rFonts w:hint="eastAsia" w:ascii="宋体" w:hAnsi="宋体" w:cs="宋体"/>
          <w:b w:val="0"/>
          <w:color w:val="auto"/>
          <w:kern w:val="0"/>
          <w:sz w:val="24"/>
        </w:rPr>
        <w:t>对于残疾人福利性单位参与货物项目的，</w:t>
      </w:r>
      <w:r>
        <w:rPr>
          <w:rStyle w:val="9"/>
          <w:rFonts w:hint="eastAsia" w:ascii="宋体" w:hAnsi="宋体" w:cs="宋体"/>
          <w:color w:val="auto"/>
          <w:kern w:val="0"/>
          <w:sz w:val="24"/>
          <w:u w:val="single"/>
        </w:rPr>
        <w:t>残疾人福利性单位应在投标文件中标明具体哪些货物是其本单位制造的货物，或者是由其他残疾人福利性单位制造的货物（不包括使用非残疾人福利性单位注册商标的货物），仅有标明部分的货物才能启动价格扣除。</w:t>
      </w:r>
    </w:p>
    <w:p>
      <w:pPr>
        <w:spacing w:line="360" w:lineRule="auto"/>
        <w:ind w:firstLine="480" w:firstLineChars="200"/>
        <w:rPr>
          <w:rFonts w:hint="eastAsia" w:ascii="宋体" w:hAnsi="宋体"/>
          <w:color w:val="auto"/>
          <w:sz w:val="24"/>
        </w:rPr>
      </w:pPr>
      <w:r>
        <w:rPr>
          <w:rFonts w:hint="eastAsia" w:ascii="宋体" w:hAnsi="宋体"/>
          <w:color w:val="auto"/>
          <w:sz w:val="24"/>
        </w:rPr>
        <w:t>（4）根据</w:t>
      </w:r>
      <w:r>
        <w:rPr>
          <w:rFonts w:ascii="宋体" w:hAnsi="宋体"/>
          <w:color w:val="auto"/>
          <w:sz w:val="24"/>
        </w:rPr>
        <w:t>财政部</w:t>
      </w:r>
      <w:r>
        <w:rPr>
          <w:rFonts w:hint="eastAsia" w:ascii="宋体" w:hAnsi="宋体"/>
          <w:color w:val="auto"/>
          <w:sz w:val="24"/>
        </w:rPr>
        <w:t>、</w:t>
      </w:r>
      <w:r>
        <w:rPr>
          <w:rFonts w:ascii="宋体" w:hAnsi="宋体"/>
          <w:color w:val="auto"/>
          <w:sz w:val="24"/>
        </w:rPr>
        <w:t>司法部</w:t>
      </w:r>
      <w:r>
        <w:rPr>
          <w:rFonts w:hint="eastAsia" w:ascii="宋体" w:hAnsi="宋体"/>
          <w:color w:val="auto"/>
          <w:sz w:val="24"/>
        </w:rPr>
        <w:t>联合印发《</w:t>
      </w:r>
      <w:r>
        <w:rPr>
          <w:rFonts w:ascii="宋体" w:hAnsi="宋体"/>
          <w:color w:val="auto"/>
          <w:sz w:val="24"/>
        </w:rPr>
        <w:t>关于政府采购支持监狱企业发展有关问题的通知</w:t>
      </w:r>
      <w:r>
        <w:rPr>
          <w:rFonts w:hint="eastAsia" w:ascii="宋体" w:hAnsi="宋体"/>
          <w:color w:val="auto"/>
          <w:sz w:val="24"/>
        </w:rPr>
        <w:t>》（财库[2014]68号）文件及福建省财政厅、福建省司法厅联合印发《关于政府采购支持监狱企业发展的实施意见》文件规定，符合规定的</w:t>
      </w:r>
      <w:r>
        <w:rPr>
          <w:rFonts w:ascii="宋体" w:hAnsi="宋体"/>
          <w:color w:val="auto"/>
          <w:sz w:val="24"/>
        </w:rPr>
        <w:t>监狱和戒毒企业(以下简称监狱企业)</w:t>
      </w:r>
      <w:r>
        <w:rPr>
          <w:rFonts w:hint="eastAsia" w:ascii="宋体" w:hAnsi="宋体"/>
          <w:color w:val="auto"/>
          <w:sz w:val="24"/>
        </w:rPr>
        <w:t>参加</w:t>
      </w:r>
      <w:r>
        <w:rPr>
          <w:rFonts w:hint="eastAsia" w:ascii="宋体" w:hAnsi="宋体"/>
          <w:color w:val="auto"/>
          <w:sz w:val="24"/>
          <w:lang w:val="en-US" w:eastAsia="zh-CN"/>
        </w:rPr>
        <w:t>招标</w:t>
      </w:r>
      <w:r>
        <w:rPr>
          <w:rFonts w:hint="eastAsia" w:ascii="宋体" w:hAnsi="宋体"/>
          <w:color w:val="auto"/>
          <w:sz w:val="24"/>
        </w:rPr>
        <w:t>活动</w:t>
      </w:r>
      <w:r>
        <w:rPr>
          <w:rFonts w:hint="eastAsia" w:ascii="宋体" w:hAnsi="宋体"/>
          <w:b/>
          <w:color w:val="auto"/>
          <w:sz w:val="24"/>
        </w:rPr>
        <w:t>视同小型、微型企业</w:t>
      </w:r>
      <w:r>
        <w:rPr>
          <w:rFonts w:hint="eastAsia" w:ascii="宋体" w:hAnsi="宋体"/>
          <w:color w:val="auto"/>
          <w:sz w:val="24"/>
        </w:rPr>
        <w:t>，</w:t>
      </w:r>
      <w:r>
        <w:rPr>
          <w:rFonts w:hint="eastAsia" w:ascii="宋体" w:hAnsi="宋体"/>
          <w:b/>
          <w:color w:val="auto"/>
          <w:sz w:val="24"/>
          <w:u w:val="single"/>
        </w:rPr>
        <w:t>提供由省级以上监狱管理局、戒毒管理局（含新疆生产建设兵团）出具的属于监狱企业的证明文件</w:t>
      </w:r>
      <w:r>
        <w:rPr>
          <w:rFonts w:hint="eastAsia" w:ascii="宋体" w:hAnsi="宋体"/>
          <w:b/>
          <w:color w:val="auto"/>
          <w:sz w:val="24"/>
        </w:rPr>
        <w:t>，</w:t>
      </w:r>
      <w:r>
        <w:rPr>
          <w:rFonts w:hint="eastAsia" w:ascii="宋体" w:hAnsi="宋体"/>
          <w:color w:val="auto"/>
          <w:sz w:val="24"/>
        </w:rPr>
        <w:t>其报价享受</w:t>
      </w:r>
      <w:r>
        <w:rPr>
          <w:rFonts w:hint="eastAsia" w:ascii="宋体" w:hAnsi="宋体"/>
          <w:b/>
          <w:color w:val="auto"/>
          <w:sz w:val="24"/>
          <w:u w:val="single"/>
        </w:rPr>
        <w:t>15%</w:t>
      </w:r>
      <w:r>
        <w:rPr>
          <w:rFonts w:hint="eastAsia" w:ascii="宋体" w:hAnsi="宋体"/>
          <w:color w:val="auto"/>
          <w:sz w:val="24"/>
        </w:rPr>
        <w:t>的评审价格扣除优惠。</w:t>
      </w:r>
    </w:p>
    <w:p>
      <w:pPr>
        <w:adjustRightInd w:val="0"/>
        <w:snapToGrid w:val="0"/>
        <w:spacing w:line="360" w:lineRule="auto"/>
        <w:ind w:firstLine="472" w:firstLineChars="196"/>
        <w:rPr>
          <w:rFonts w:hint="eastAsia" w:ascii="宋体" w:hAnsi="宋体"/>
          <w:b/>
          <w:color w:val="auto"/>
          <w:sz w:val="24"/>
        </w:rPr>
      </w:pPr>
      <w:r>
        <w:rPr>
          <w:rFonts w:hint="eastAsia" w:ascii="宋体" w:hAnsi="宋体"/>
          <w:b/>
          <w:color w:val="auto"/>
          <w:sz w:val="24"/>
        </w:rPr>
        <w:t>注：</w:t>
      </w:r>
    </w:p>
    <w:p>
      <w:pPr>
        <w:adjustRightInd w:val="0"/>
        <w:snapToGrid w:val="0"/>
        <w:spacing w:line="360" w:lineRule="auto"/>
        <w:ind w:firstLine="470" w:firstLineChars="196"/>
        <w:rPr>
          <w:rFonts w:hint="eastAsia" w:ascii="宋体" w:hAnsi="宋体"/>
          <w:snapToGrid w:val="0"/>
          <w:color w:val="auto"/>
          <w:kern w:val="0"/>
          <w:sz w:val="24"/>
        </w:rPr>
      </w:pPr>
      <w:r>
        <w:rPr>
          <w:rFonts w:hint="eastAsia" w:ascii="宋体" w:hAnsi="宋体"/>
          <w:color w:val="auto"/>
          <w:sz w:val="24"/>
        </w:rPr>
        <w:t>1）</w:t>
      </w:r>
      <w:r>
        <w:rPr>
          <w:rFonts w:hint="eastAsia" w:ascii="宋体" w:hAnsi="宋体"/>
          <w:b/>
          <w:color w:val="auto"/>
          <w:sz w:val="24"/>
        </w:rPr>
        <w:t>若本项目属于专门面向小微企业的招标项目</w:t>
      </w:r>
      <w:r>
        <w:rPr>
          <w:rFonts w:hint="eastAsia" w:ascii="宋体" w:hAnsi="宋体"/>
          <w:color w:val="auto"/>
          <w:sz w:val="24"/>
        </w:rPr>
        <w:t>，所有投标人均不享受以上（2）至（4）项评审优惠，但应按照以上要求在投标文件（技术商务部分）中提供相应证明材料。</w:t>
      </w:r>
    </w:p>
    <w:p>
      <w:pPr>
        <w:adjustRightInd w:val="0"/>
        <w:snapToGrid w:val="0"/>
        <w:spacing w:line="360" w:lineRule="auto"/>
        <w:ind w:firstLine="480" w:firstLineChars="200"/>
        <w:rPr>
          <w:rFonts w:hint="eastAsia" w:ascii="宋体" w:hAnsi="宋体" w:eastAsia="宋体"/>
          <w:color w:val="auto"/>
          <w:sz w:val="24"/>
          <w:lang w:eastAsia="zh-CN"/>
        </w:rPr>
      </w:pPr>
      <w:r>
        <w:rPr>
          <w:rFonts w:hint="eastAsia" w:ascii="宋体" w:hAnsi="宋体"/>
          <w:snapToGrid w:val="0"/>
          <w:color w:val="auto"/>
          <w:kern w:val="0"/>
          <w:sz w:val="24"/>
        </w:rPr>
        <w:t>2）</w:t>
      </w:r>
      <w:r>
        <w:rPr>
          <w:rStyle w:val="9"/>
          <w:rFonts w:ascii="宋体" w:hAnsi="宋体" w:cs="宋体"/>
          <w:b w:val="0"/>
          <w:color w:val="auto"/>
          <w:kern w:val="0"/>
          <w:sz w:val="24"/>
        </w:rPr>
        <w:t>享受扶持政策获得合同的，小微企业不得将合同分包给大中型企业，中型企业不得将合同分包给大型企业</w:t>
      </w:r>
      <w:r>
        <w:rPr>
          <w:rStyle w:val="9"/>
          <w:rFonts w:hint="eastAsia" w:ascii="宋体" w:hAnsi="宋体" w:cs="宋体"/>
          <w:b w:val="0"/>
          <w:color w:val="auto"/>
          <w:kern w:val="0"/>
          <w:sz w:val="24"/>
        </w:rPr>
        <w:t>。</w:t>
      </w:r>
      <w:r>
        <w:rPr>
          <w:rStyle w:val="9"/>
          <w:rFonts w:hint="eastAsia" w:ascii="宋体" w:hAnsi="宋体" w:cs="宋体"/>
          <w:color w:val="auto"/>
          <w:kern w:val="0"/>
          <w:sz w:val="24"/>
        </w:rPr>
        <w:t>本项目为</w:t>
      </w:r>
      <w:r>
        <w:rPr>
          <w:rStyle w:val="9"/>
          <w:rFonts w:hint="eastAsia" w:ascii="宋体" w:hAnsi="宋体" w:cs="宋体"/>
          <w:color w:val="auto"/>
          <w:kern w:val="0"/>
          <w:sz w:val="24"/>
          <w:u w:val="single"/>
          <w:lang w:val="en-US" w:eastAsia="zh-CN"/>
        </w:rPr>
        <w:t>服务</w:t>
      </w:r>
      <w:r>
        <w:rPr>
          <w:rStyle w:val="9"/>
          <w:rFonts w:hint="eastAsia" w:ascii="宋体" w:hAnsi="宋体" w:cs="宋体"/>
          <w:color w:val="auto"/>
          <w:kern w:val="0"/>
          <w:sz w:val="24"/>
        </w:rPr>
        <w:t>类采购项目，采购标的对应的中小企业划分标准所属行业为</w:t>
      </w:r>
      <w:r>
        <w:rPr>
          <w:rStyle w:val="9"/>
          <w:rFonts w:hint="eastAsia" w:ascii="宋体" w:hAnsi="宋体" w:cs="宋体"/>
          <w:color w:val="auto"/>
          <w:kern w:val="0"/>
          <w:sz w:val="24"/>
          <w:lang w:val="en-US" w:eastAsia="zh-CN"/>
        </w:rPr>
        <w:t>租赁和商务服务</w:t>
      </w:r>
      <w:r>
        <w:rPr>
          <w:rStyle w:val="9"/>
          <w:rFonts w:hint="eastAsia" w:ascii="宋体" w:hAnsi="宋体" w:cs="宋体"/>
          <w:color w:val="auto"/>
          <w:kern w:val="0"/>
          <w:sz w:val="24"/>
          <w:u w:val="single"/>
          <w:lang w:val="en-US" w:eastAsia="zh-CN"/>
        </w:rPr>
        <w:t>业</w:t>
      </w:r>
      <w:r>
        <w:rPr>
          <w:rStyle w:val="9"/>
          <w:rFonts w:hint="eastAsia" w:ascii="宋体" w:hAnsi="宋体" w:cs="宋体"/>
          <w:color w:val="auto"/>
          <w:kern w:val="0"/>
          <w:sz w:val="24"/>
        </w:rPr>
        <w:t>。</w:t>
      </w:r>
      <w:r>
        <w:rPr>
          <w:rStyle w:val="9"/>
          <w:rFonts w:hint="eastAsia" w:ascii="宋体" w:hAnsi="宋体" w:cs="宋体"/>
          <w:color w:val="auto"/>
          <w:kern w:val="0"/>
          <w:sz w:val="24"/>
          <w:u w:val="single"/>
        </w:rPr>
        <w:t>若项目为货物类采购项目，供应商须按要求将本次采购标的中所列所有采购货物的制造商情况在《中小企业声明函》中填写完整，有缺漏项的或填写不完整的，所投所有货物均将不予以价格扣除。</w:t>
      </w:r>
      <w:r>
        <w:rPr>
          <w:rStyle w:val="9"/>
          <w:rFonts w:hint="eastAsia" w:ascii="宋体" w:hAnsi="宋体" w:cs="宋体"/>
          <w:b w:val="0"/>
          <w:color w:val="auto"/>
          <w:kern w:val="0"/>
          <w:sz w:val="24"/>
        </w:rPr>
        <w:t>供应商提供的声明函内容不实的或提供虚假的证明文件的，均属于提供虚假材料谋取中标、成交，一经发现将依照《中华人民共和国政府采购法》等国家有关规定追究相应责任</w:t>
      </w:r>
      <w:r>
        <w:rPr>
          <w:rStyle w:val="9"/>
          <w:rFonts w:hint="eastAsia" w:ascii="宋体" w:hAnsi="宋体" w:cs="宋体"/>
          <w:b w:val="0"/>
          <w:color w:val="auto"/>
          <w:kern w:val="0"/>
          <w:sz w:val="24"/>
          <w:lang w:eastAsia="zh-CN"/>
        </w:rPr>
        <w:t>。</w:t>
      </w:r>
    </w:p>
    <w:p>
      <w:pPr>
        <w:spacing w:line="360" w:lineRule="auto"/>
        <w:rPr>
          <w:rFonts w:hint="eastAsia" w:ascii="宋体" w:hAnsi="宋体"/>
          <w:b/>
          <w:color w:val="auto"/>
          <w:sz w:val="24"/>
        </w:rPr>
      </w:pPr>
      <w:r>
        <w:rPr>
          <w:rFonts w:hint="eastAsia" w:ascii="宋体" w:hAnsi="宋体"/>
          <w:b/>
          <w:color w:val="auto"/>
          <w:sz w:val="24"/>
        </w:rPr>
        <w:t>2、价格分计算方式：</w:t>
      </w:r>
    </w:p>
    <w:p>
      <w:pPr>
        <w:adjustRightInd w:val="0"/>
        <w:snapToGrid w:val="0"/>
        <w:spacing w:line="360" w:lineRule="auto"/>
        <w:ind w:firstLine="480" w:firstLineChars="200"/>
        <w:rPr>
          <w:rFonts w:hint="eastAsia" w:hAnsi="宋体"/>
          <w:b/>
          <w:color w:val="auto"/>
          <w:sz w:val="24"/>
        </w:rPr>
      </w:pPr>
      <w:r>
        <w:rPr>
          <w:rFonts w:hint="eastAsia" w:ascii="宋体" w:hAnsi="宋体"/>
          <w:color w:val="auto"/>
          <w:sz w:val="24"/>
        </w:rPr>
        <w:t>合格投标人的投标报价经上述（1）至（4）条款修正及价格扣除后，计算出报价评标价，评委将按下列方法计算各合格投标人的报价部分得分。</w:t>
      </w:r>
      <w:r>
        <w:rPr>
          <w:rFonts w:hint="eastAsia" w:hAnsi="宋体"/>
          <w:b/>
          <w:color w:val="auto"/>
          <w:sz w:val="24"/>
        </w:rPr>
        <w:t>（每吨标准热水向学生售价单价限价超过最高限价30元/吨的报价为无效报价）</w:t>
      </w:r>
    </w:p>
    <w:p>
      <w:pPr>
        <w:pStyle w:val="2"/>
        <w:snapToGrid w:val="0"/>
        <w:spacing w:line="360" w:lineRule="auto"/>
        <w:ind w:firstLine="480" w:firstLineChars="200"/>
        <w:rPr>
          <w:rFonts w:hint="eastAsia" w:ascii="宋体" w:hAnsi="宋体"/>
          <w:bCs/>
          <w:color w:val="auto"/>
          <w:sz w:val="24"/>
          <w:szCs w:val="24"/>
        </w:rPr>
      </w:pPr>
      <w:r>
        <w:rPr>
          <w:rFonts w:hint="eastAsia" w:ascii="宋体" w:hAnsi="宋体"/>
          <w:bCs/>
          <w:color w:val="auto"/>
          <w:sz w:val="24"/>
          <w:szCs w:val="24"/>
        </w:rPr>
        <w:t>PF= F</w:t>
      </w:r>
      <w:r>
        <w:rPr>
          <w:rFonts w:hint="eastAsia" w:ascii="宋体" w:hAnsi="宋体"/>
          <w:bCs/>
          <w:color w:val="auto"/>
          <w:sz w:val="24"/>
          <w:szCs w:val="24"/>
          <w:vertAlign w:val="subscript"/>
        </w:rPr>
        <w:t>低</w:t>
      </w:r>
      <w:r>
        <w:rPr>
          <w:rFonts w:hint="eastAsia" w:ascii="宋体" w:hAnsi="宋体"/>
          <w:bCs/>
          <w:color w:val="auto"/>
          <w:sz w:val="24"/>
          <w:szCs w:val="24"/>
        </w:rPr>
        <w:t xml:space="preserve"> ÷F × 10      </w:t>
      </w:r>
    </w:p>
    <w:p>
      <w:pPr>
        <w:pStyle w:val="2"/>
        <w:snapToGrid w:val="0"/>
        <w:spacing w:line="360" w:lineRule="auto"/>
        <w:ind w:firstLine="480" w:firstLineChars="200"/>
        <w:rPr>
          <w:rFonts w:hint="eastAsia" w:ascii="宋体" w:hAnsi="宋体"/>
          <w:bCs/>
          <w:color w:val="auto"/>
          <w:sz w:val="24"/>
          <w:szCs w:val="24"/>
        </w:rPr>
      </w:pPr>
      <w:r>
        <w:rPr>
          <w:rFonts w:hint="eastAsia" w:ascii="宋体" w:hAnsi="宋体"/>
          <w:bCs/>
          <w:color w:val="auto"/>
          <w:sz w:val="24"/>
          <w:szCs w:val="24"/>
        </w:rPr>
        <w:t>注：1、PF为投标价格得分。</w:t>
      </w:r>
    </w:p>
    <w:p>
      <w:pPr>
        <w:pStyle w:val="2"/>
        <w:snapToGrid w:val="0"/>
        <w:spacing w:line="360" w:lineRule="auto"/>
        <w:ind w:firstLine="960" w:firstLineChars="400"/>
        <w:rPr>
          <w:rFonts w:hint="eastAsia" w:ascii="宋体" w:hAnsi="宋体"/>
          <w:bCs/>
          <w:color w:val="auto"/>
          <w:sz w:val="24"/>
          <w:szCs w:val="24"/>
        </w:rPr>
      </w:pPr>
      <w:r>
        <w:rPr>
          <w:rFonts w:hint="eastAsia" w:ascii="宋体" w:hAnsi="宋体"/>
          <w:bCs/>
          <w:color w:val="auto"/>
          <w:sz w:val="24"/>
          <w:szCs w:val="24"/>
        </w:rPr>
        <w:t>2、F</w:t>
      </w:r>
      <w:r>
        <w:rPr>
          <w:rFonts w:hint="eastAsia" w:ascii="宋体" w:hAnsi="宋体"/>
          <w:bCs/>
          <w:color w:val="auto"/>
          <w:sz w:val="24"/>
          <w:szCs w:val="24"/>
          <w:vertAlign w:val="subscript"/>
        </w:rPr>
        <w:t>低</w:t>
      </w:r>
      <w:r>
        <w:rPr>
          <w:rFonts w:hint="eastAsia" w:ascii="宋体" w:hAnsi="宋体"/>
          <w:bCs/>
          <w:color w:val="auto"/>
          <w:sz w:val="24"/>
          <w:szCs w:val="24"/>
        </w:rPr>
        <w:t>为评标基准价=进入评分的各合格投标人中报价评标价的最低值。</w:t>
      </w:r>
    </w:p>
    <w:p>
      <w:pPr>
        <w:pStyle w:val="2"/>
        <w:snapToGrid w:val="0"/>
        <w:spacing w:line="360" w:lineRule="auto"/>
        <w:ind w:firstLine="960" w:firstLineChars="400"/>
        <w:rPr>
          <w:rFonts w:hint="eastAsia" w:ascii="宋体" w:hAnsi="宋体"/>
          <w:bCs/>
          <w:color w:val="auto"/>
          <w:sz w:val="24"/>
          <w:szCs w:val="24"/>
        </w:rPr>
      </w:pPr>
      <w:r>
        <w:rPr>
          <w:rFonts w:hint="eastAsia" w:ascii="宋体" w:hAnsi="宋体"/>
          <w:bCs/>
          <w:color w:val="auto"/>
          <w:sz w:val="24"/>
          <w:szCs w:val="24"/>
        </w:rPr>
        <w:t>3、F为各合格投标人的报价评标价。</w:t>
      </w:r>
    </w:p>
    <w:p>
      <w:pPr>
        <w:pageBreakBefore w:val="0"/>
        <w:widowControl w:val="0"/>
        <w:kinsoku/>
        <w:wordWrap/>
        <w:overflowPunct/>
        <w:topLinePunct w:val="0"/>
        <w:autoSpaceDE/>
        <w:autoSpaceDN/>
        <w:bidi w:val="0"/>
        <w:adjustRightInd w:val="0"/>
        <w:snapToGrid w:val="0"/>
        <w:spacing w:line="360" w:lineRule="auto"/>
        <w:ind w:firstLine="960" w:firstLineChars="400"/>
        <w:textAlignment w:val="auto"/>
        <w:rPr>
          <w:rFonts w:hint="eastAsia" w:ascii="宋体" w:hAnsi="宋体"/>
          <w:bCs/>
          <w:color w:val="auto"/>
          <w:sz w:val="24"/>
        </w:rPr>
      </w:pPr>
      <w:r>
        <w:rPr>
          <w:rFonts w:hint="eastAsia" w:ascii="宋体" w:hAnsi="宋体"/>
          <w:bCs/>
          <w:color w:val="auto"/>
          <w:sz w:val="24"/>
        </w:rPr>
        <w:t>4、计算分数时四舍五入保留小数点后两位。</w:t>
      </w:r>
    </w:p>
    <w:p>
      <w:r>
        <w:rPr>
          <w:rFonts w:hint="eastAsia" w:ascii="宋体" w:hAnsi="宋体"/>
          <w:b/>
          <w:color w:val="auto"/>
          <w:sz w:val="24"/>
        </w:rPr>
        <w:t>综合得分：P＝PT＋PB＋PF</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mOWUxOTE5YjU0ZjQxNGNkYzZkN2Q1MWYxMGQ0YzYifQ=="/>
  </w:docVars>
  <w:rsids>
    <w:rsidRoot w:val="7D067C46"/>
    <w:rsid w:val="06DA73FF"/>
    <w:rsid w:val="0AD61855"/>
    <w:rsid w:val="7D067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uiPriority w:val="0"/>
    <w:pPr>
      <w:ind w:firstLine="420"/>
    </w:pPr>
    <w:rPr>
      <w:szCs w:val="20"/>
    </w:rPr>
  </w:style>
  <w:style w:type="paragraph" w:styleId="3">
    <w:name w:val="annotation text"/>
    <w:basedOn w:val="1"/>
    <w:uiPriority w:val="0"/>
    <w:pPr>
      <w:jc w:val="left"/>
    </w:pPr>
  </w:style>
  <w:style w:type="paragraph" w:styleId="4">
    <w:name w:val="Body Text"/>
    <w:basedOn w:val="1"/>
    <w:next w:val="5"/>
    <w:uiPriority w:val="0"/>
    <w:pPr>
      <w:spacing w:line="380" w:lineRule="exact"/>
    </w:pPr>
    <w:rPr>
      <w:sz w:val="24"/>
    </w:rPr>
  </w:style>
  <w:style w:type="paragraph" w:styleId="5">
    <w:name w:val="Body Text First Indent"/>
    <w:basedOn w:val="4"/>
    <w:next w:val="6"/>
    <w:qFormat/>
    <w:uiPriority w:val="0"/>
    <w:pPr>
      <w:spacing w:line="360" w:lineRule="auto"/>
      <w:ind w:firstLine="420"/>
    </w:pPr>
    <w:rPr>
      <w:rFonts w:ascii="宋体" w:hAnsi="宋体"/>
      <w:sz w:val="24"/>
    </w:rPr>
  </w:style>
  <w:style w:type="paragraph" w:customStyle="1" w:styleId="6">
    <w:name w:val="样式 正文首行缩进 + 首行缩进:  2 字符1 Char Char"/>
    <w:qFormat/>
    <w:uiPriority w:val="0"/>
    <w:pPr>
      <w:widowControl w:val="0"/>
      <w:adjustRightInd w:val="0"/>
      <w:spacing w:line="400" w:lineRule="exact"/>
      <w:ind w:firstLine="480" w:firstLineChars="200"/>
      <w:jc w:val="both"/>
      <w:textAlignment w:val="baseline"/>
    </w:pPr>
    <w:rPr>
      <w:rFonts w:ascii="宋体" w:hAnsi="宋体" w:eastAsia="仿宋_GB2312" w:cs="宋体"/>
      <w:color w:val="000000"/>
      <w:kern w:val="2"/>
      <w:sz w:val="26"/>
      <w:lang w:val="en-US" w:eastAsia="zh-CN" w:bidi="ar-SA"/>
    </w:r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2024-03-22T03:13:00Z</dcterms:created>
  <dc:creator>。</dc:creator>
  <cp:lastModifiedBy>。</cp:lastModifiedBy>
  <dcterms:modified xsi:type="dcterms:W3CDTF">2024-03-22T03:22:10Z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DDA26D8D6B554C90BBFA41B9676A32D5_11</vt:lpwstr>
  </property>
</Properties>
</file>